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40" w:rsidRDefault="00F72140">
      <w:pPr>
        <w:rPr>
          <w:lang w:val="fr-FR"/>
        </w:rPr>
      </w:pPr>
    </w:p>
    <w:p w:rsidR="008A28BB" w:rsidRPr="007751C2" w:rsidRDefault="008A28BB"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FA75A7" w:rsidRPr="007751C2" w:rsidRDefault="00FA75A7" w:rsidP="00AA21B5">
      <w:pPr>
        <w:spacing w:after="0" w:line="240" w:lineRule="auto"/>
        <w:jc w:val="both"/>
        <w:rPr>
          <w:lang w:val="fr-FR"/>
        </w:rPr>
      </w:pPr>
    </w:p>
    <w:p w:rsidR="00AA21B5" w:rsidRDefault="00AA21B5" w:rsidP="00AA21B5">
      <w:pPr>
        <w:spacing w:after="0" w:line="240" w:lineRule="auto"/>
        <w:jc w:val="both"/>
        <w:rPr>
          <w:sz w:val="96"/>
          <w:szCs w:val="96"/>
          <w:lang w:val="fr-FR"/>
        </w:rPr>
      </w:pPr>
    </w:p>
    <w:p w:rsidR="005521F2" w:rsidRPr="000A22AE" w:rsidRDefault="005521F2" w:rsidP="0018528A">
      <w:pPr>
        <w:spacing w:after="0" w:line="240" w:lineRule="auto"/>
        <w:ind w:left="0"/>
        <w:jc w:val="both"/>
        <w:rPr>
          <w:rFonts w:ascii="Arial Narrow" w:hAnsi="Arial Narrow"/>
          <w:sz w:val="96"/>
          <w:szCs w:val="96"/>
          <w:lang w:val="fr-FR"/>
        </w:rPr>
      </w:pPr>
      <w:r w:rsidRPr="000A22AE">
        <w:rPr>
          <w:rFonts w:ascii="Arial Narrow" w:hAnsi="Arial Narrow"/>
          <w:sz w:val="96"/>
          <w:szCs w:val="96"/>
          <w:lang w:val="fr-FR"/>
        </w:rPr>
        <w:t>Élections 2014</w:t>
      </w:r>
    </w:p>
    <w:p w:rsidR="00FA75A7" w:rsidRPr="000A22AE" w:rsidRDefault="00FA75A7" w:rsidP="00AA21B5">
      <w:pPr>
        <w:spacing w:after="0" w:line="240" w:lineRule="auto"/>
        <w:jc w:val="both"/>
        <w:rPr>
          <w:rFonts w:ascii="Arial Narrow" w:hAnsi="Arial Narrow"/>
          <w:b/>
          <w:sz w:val="32"/>
          <w:szCs w:val="32"/>
          <w:lang w:val="fr-FR"/>
        </w:rPr>
      </w:pPr>
    </w:p>
    <w:p w:rsidR="00AA21B5" w:rsidRPr="000A22AE" w:rsidRDefault="00AA21B5" w:rsidP="00AA21B5">
      <w:pPr>
        <w:spacing w:after="0" w:line="240" w:lineRule="auto"/>
        <w:jc w:val="both"/>
        <w:rPr>
          <w:rFonts w:ascii="Arial Narrow" w:hAnsi="Arial Narrow"/>
          <w:sz w:val="48"/>
          <w:szCs w:val="48"/>
          <w:lang w:val="fr-FR"/>
        </w:rPr>
      </w:pPr>
    </w:p>
    <w:p w:rsidR="00DF510E" w:rsidRPr="000A22AE" w:rsidRDefault="00DF510E" w:rsidP="0018528A">
      <w:pPr>
        <w:spacing w:after="0" w:line="240" w:lineRule="auto"/>
        <w:ind w:left="0"/>
        <w:jc w:val="both"/>
        <w:rPr>
          <w:rFonts w:ascii="Arial Narrow" w:hAnsi="Arial Narrow"/>
          <w:sz w:val="44"/>
          <w:szCs w:val="44"/>
          <w:lang w:val="fr-FR"/>
        </w:rPr>
      </w:pPr>
      <w:r w:rsidRPr="000A22AE">
        <w:rPr>
          <w:rFonts w:ascii="Arial Narrow" w:hAnsi="Arial Narrow"/>
          <w:sz w:val="44"/>
          <w:szCs w:val="44"/>
          <w:lang w:val="fr-FR"/>
        </w:rPr>
        <w:t>Priorités du Centre pour l’égalité des chances et la lutte contre le racisme</w:t>
      </w:r>
    </w:p>
    <w:p w:rsidR="000A3542" w:rsidRPr="000A22AE" w:rsidRDefault="000A3542" w:rsidP="00AA21B5">
      <w:pPr>
        <w:spacing w:after="0" w:line="240" w:lineRule="auto"/>
        <w:jc w:val="both"/>
        <w:rPr>
          <w:rFonts w:ascii="Arial Narrow" w:hAnsi="Arial Narrow"/>
          <w:b/>
          <w:sz w:val="32"/>
          <w:szCs w:val="32"/>
          <w:lang w:val="fr-FR"/>
        </w:rPr>
      </w:pPr>
    </w:p>
    <w:p w:rsidR="00AA21B5" w:rsidRPr="000A22AE" w:rsidRDefault="00AA21B5" w:rsidP="00AA21B5">
      <w:pPr>
        <w:spacing w:after="0" w:line="240" w:lineRule="auto"/>
        <w:jc w:val="both"/>
        <w:rPr>
          <w:rFonts w:ascii="Arial Narrow" w:hAnsi="Arial Narrow"/>
          <w:b/>
          <w:sz w:val="32"/>
          <w:szCs w:val="32"/>
          <w:lang w:val="fr-FR"/>
        </w:rPr>
      </w:pPr>
    </w:p>
    <w:p w:rsidR="00AA21B5" w:rsidRPr="000A22AE" w:rsidRDefault="00AA21B5" w:rsidP="00AA21B5">
      <w:pPr>
        <w:spacing w:after="0" w:line="240" w:lineRule="auto"/>
        <w:jc w:val="both"/>
        <w:rPr>
          <w:rFonts w:ascii="Arial Narrow" w:hAnsi="Arial Narrow"/>
          <w:sz w:val="24"/>
          <w:szCs w:val="24"/>
          <w:lang w:val="fr-FR"/>
        </w:rPr>
      </w:pPr>
    </w:p>
    <w:p w:rsidR="00AA21B5" w:rsidRPr="000A22AE" w:rsidRDefault="00AA21B5" w:rsidP="00AA21B5">
      <w:pPr>
        <w:tabs>
          <w:tab w:val="left" w:pos="4065"/>
        </w:tabs>
        <w:spacing w:after="0" w:line="240" w:lineRule="auto"/>
        <w:jc w:val="both"/>
        <w:rPr>
          <w:rFonts w:ascii="Arial Narrow" w:hAnsi="Arial Narrow"/>
          <w:sz w:val="24"/>
          <w:szCs w:val="24"/>
          <w:lang w:val="fr-FR"/>
        </w:rPr>
      </w:pPr>
      <w:r w:rsidRPr="000A22AE">
        <w:rPr>
          <w:rFonts w:ascii="Arial Narrow" w:hAnsi="Arial Narrow"/>
          <w:sz w:val="24"/>
          <w:szCs w:val="24"/>
          <w:lang w:val="fr-FR"/>
        </w:rPr>
        <w:tab/>
      </w:r>
    </w:p>
    <w:p w:rsidR="00AA21B5" w:rsidRPr="000A22AE" w:rsidRDefault="00AA21B5" w:rsidP="00AA21B5">
      <w:pPr>
        <w:spacing w:after="0" w:line="240" w:lineRule="auto"/>
        <w:jc w:val="both"/>
        <w:rPr>
          <w:rFonts w:ascii="Arial Narrow" w:hAnsi="Arial Narrow"/>
          <w:sz w:val="24"/>
          <w:szCs w:val="24"/>
          <w:lang w:val="fr-FR"/>
        </w:rPr>
      </w:pPr>
    </w:p>
    <w:p w:rsidR="00AA21B5" w:rsidRPr="000A22AE" w:rsidRDefault="00AA21B5" w:rsidP="00AA21B5">
      <w:pPr>
        <w:spacing w:after="0" w:line="240" w:lineRule="auto"/>
        <w:jc w:val="both"/>
        <w:rPr>
          <w:rFonts w:ascii="Arial Narrow" w:hAnsi="Arial Narrow"/>
          <w:sz w:val="24"/>
          <w:szCs w:val="24"/>
          <w:lang w:val="fr-FR"/>
        </w:rPr>
      </w:pPr>
    </w:p>
    <w:p w:rsidR="00AA21B5" w:rsidRPr="000A22AE" w:rsidRDefault="00AA21B5" w:rsidP="00AA21B5">
      <w:pPr>
        <w:spacing w:after="0" w:line="240" w:lineRule="auto"/>
        <w:jc w:val="both"/>
        <w:rPr>
          <w:rFonts w:ascii="Arial Narrow" w:hAnsi="Arial Narrow"/>
          <w:sz w:val="24"/>
          <w:szCs w:val="24"/>
          <w:lang w:val="fr-FR"/>
        </w:rPr>
      </w:pPr>
    </w:p>
    <w:p w:rsidR="000A3542" w:rsidRPr="000A22AE" w:rsidRDefault="000A3542" w:rsidP="00AA21B5">
      <w:pPr>
        <w:spacing w:after="0" w:line="240" w:lineRule="auto"/>
        <w:jc w:val="both"/>
        <w:rPr>
          <w:rFonts w:ascii="Arial Narrow" w:hAnsi="Arial Narrow"/>
          <w:sz w:val="22"/>
          <w:szCs w:val="22"/>
          <w:lang w:val="fr-FR"/>
        </w:rPr>
      </w:pPr>
      <w:r w:rsidRPr="000A22AE">
        <w:rPr>
          <w:rFonts w:ascii="Arial Narrow" w:hAnsi="Arial Narrow"/>
          <w:sz w:val="22"/>
          <w:szCs w:val="22"/>
          <w:lang w:val="fr-FR"/>
        </w:rPr>
        <w:t>Le Centre pour l'égalité des chances et la lutte contre le racisme est un service public indépendant qui a pour mission légale la promotion de l’égalité et la lutte contre la discrimination. Il a aussi pour mission de veiller aux droits fondamentaux des étrangers, d’observer les flux migratoires et de stimuler la lutte contre la traite des êtres humains. Le Centre a également été désigné comme mécanisme indépendant pour veiller à l'application de la Convention des Nations Unies sur les droits des personnes handicapées.</w:t>
      </w:r>
    </w:p>
    <w:p w:rsidR="00AA21B5" w:rsidRPr="000A22AE" w:rsidRDefault="00AA21B5" w:rsidP="00AA21B5">
      <w:pPr>
        <w:spacing w:after="0" w:line="240" w:lineRule="auto"/>
        <w:jc w:val="both"/>
        <w:rPr>
          <w:rFonts w:ascii="Arial Narrow" w:hAnsi="Arial Narrow"/>
          <w:sz w:val="22"/>
          <w:szCs w:val="22"/>
          <w:lang w:val="fr-FR"/>
        </w:rPr>
      </w:pPr>
    </w:p>
    <w:p w:rsidR="00214AAB" w:rsidRDefault="000A3542" w:rsidP="00AA21B5">
      <w:pPr>
        <w:spacing w:after="0" w:line="240" w:lineRule="auto"/>
        <w:jc w:val="both"/>
        <w:rPr>
          <w:rFonts w:ascii="Arial Narrow" w:hAnsi="Arial Narrow"/>
          <w:sz w:val="22"/>
          <w:szCs w:val="22"/>
          <w:lang w:val="fr-FR"/>
        </w:rPr>
      </w:pPr>
      <w:r w:rsidRPr="000A22AE">
        <w:rPr>
          <w:rFonts w:ascii="Arial Narrow" w:hAnsi="Arial Narrow"/>
          <w:sz w:val="22"/>
          <w:szCs w:val="22"/>
          <w:lang w:val="fr-FR"/>
        </w:rPr>
        <w:t>Le Centre présente ici ses priorités pour les élections fédérales, régionales et européennes  du 25 mai 2014, dans ses domaines de compétence</w:t>
      </w:r>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bookmarkStart w:id="0" w:name="_GoBack"/>
      <w:bookmarkEnd w:id="0"/>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p>
    <w:p w:rsidR="00214AAB" w:rsidRDefault="00214AAB" w:rsidP="00AA21B5">
      <w:pPr>
        <w:spacing w:after="0" w:line="240" w:lineRule="auto"/>
        <w:jc w:val="both"/>
        <w:rPr>
          <w:rFonts w:ascii="Arial Narrow" w:hAnsi="Arial Narrow"/>
          <w:sz w:val="22"/>
          <w:szCs w:val="22"/>
          <w:lang w:val="fr-FR"/>
        </w:rPr>
      </w:pPr>
    </w:p>
    <w:p w:rsidR="00D95034" w:rsidRPr="000A22AE" w:rsidRDefault="00214AAB" w:rsidP="00214AAB">
      <w:pPr>
        <w:spacing w:after="0" w:line="240" w:lineRule="auto"/>
        <w:jc w:val="right"/>
        <w:rPr>
          <w:rFonts w:ascii="Arial Narrow" w:hAnsi="Arial Narrow"/>
          <w:b/>
          <w:sz w:val="32"/>
          <w:szCs w:val="32"/>
          <w:lang w:val="fr-FR"/>
        </w:rPr>
      </w:pPr>
      <w:r>
        <w:rPr>
          <w:rFonts w:ascii="Arial Narrow" w:hAnsi="Arial Narrow"/>
          <w:b/>
          <w:noProof/>
          <w:sz w:val="32"/>
          <w:szCs w:val="32"/>
          <w:lang w:eastAsia="fr-BE"/>
        </w:rPr>
        <w:drawing>
          <wp:inline distT="0" distB="0" distL="0" distR="0" wp14:anchorId="4A7A7C5F" wp14:editId="5802378E">
            <wp:extent cx="1286327" cy="620090"/>
            <wp:effectExtent l="0" t="0" r="0" b="8890"/>
            <wp:docPr id="1" name="Image 1" descr="K:\01 Directie-Direction\14 COMM\Private\09 Logos\01 LOGO'S CNTR\2-Archief\logo2008-2014\Logo-jpeg\Logo-horizon_light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Directie-Direction\14 COMM\Private\09 Logos\01 LOGO'S CNTR\2-Archief\logo2008-2014\Logo-jpeg\Logo-horizon_light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551" cy="617788"/>
                    </a:xfrm>
                    <a:prstGeom prst="rect">
                      <a:avLst/>
                    </a:prstGeom>
                    <a:noFill/>
                    <a:ln>
                      <a:noFill/>
                    </a:ln>
                  </pic:spPr>
                </pic:pic>
              </a:graphicData>
            </a:graphic>
          </wp:inline>
        </w:drawing>
      </w:r>
      <w:r w:rsidR="00D95034" w:rsidRPr="000A22AE">
        <w:rPr>
          <w:rFonts w:ascii="Arial Narrow" w:hAnsi="Arial Narrow"/>
          <w:b/>
          <w:sz w:val="32"/>
          <w:szCs w:val="32"/>
          <w:lang w:val="fr-FR"/>
        </w:rPr>
        <w:br w:type="page"/>
      </w:r>
    </w:p>
    <w:p w:rsidR="009F6ABF" w:rsidRDefault="009F6ABF">
      <w:pPr>
        <w:pStyle w:val="TM1"/>
        <w:tabs>
          <w:tab w:val="right" w:leader="dot" w:pos="9062"/>
        </w:tabs>
        <w:rPr>
          <w:b/>
          <w:sz w:val="32"/>
          <w:szCs w:val="32"/>
          <w:lang w:val="fr-FR"/>
        </w:rPr>
      </w:pPr>
      <w:r>
        <w:rPr>
          <w:b/>
          <w:sz w:val="32"/>
          <w:szCs w:val="32"/>
          <w:lang w:val="fr-FR"/>
        </w:rPr>
        <w:lastRenderedPageBreak/>
        <w:t>Table des matières</w:t>
      </w:r>
    </w:p>
    <w:p w:rsidR="009F6ABF" w:rsidRDefault="009F6ABF">
      <w:pPr>
        <w:pStyle w:val="TM1"/>
        <w:tabs>
          <w:tab w:val="right" w:leader="dot" w:pos="9062"/>
        </w:tabs>
        <w:rPr>
          <w:b/>
          <w:sz w:val="32"/>
          <w:szCs w:val="32"/>
          <w:lang w:val="fr-FR"/>
        </w:rPr>
      </w:pPr>
    </w:p>
    <w:p w:rsidR="009F6ABF" w:rsidRDefault="009F6ABF" w:rsidP="009F6ABF">
      <w:pPr>
        <w:rPr>
          <w:lang w:val="fr-FR"/>
        </w:rPr>
      </w:pPr>
    </w:p>
    <w:p w:rsidR="009F6ABF" w:rsidRPr="009F6ABF" w:rsidRDefault="009F6ABF" w:rsidP="009F6ABF">
      <w:pPr>
        <w:rPr>
          <w:lang w:val="fr-FR"/>
        </w:rPr>
      </w:pPr>
    </w:p>
    <w:p w:rsidR="001D2D00" w:rsidRDefault="00554876">
      <w:pPr>
        <w:pStyle w:val="TM1"/>
        <w:tabs>
          <w:tab w:val="right" w:leader="dot" w:pos="9062"/>
        </w:tabs>
        <w:rPr>
          <w:noProof/>
          <w:lang w:eastAsia="fr-BE"/>
        </w:rPr>
      </w:pPr>
      <w:r w:rsidRPr="007751C2">
        <w:rPr>
          <w:b/>
          <w:sz w:val="32"/>
          <w:szCs w:val="32"/>
          <w:lang w:val="fr-FR"/>
        </w:rPr>
        <w:fldChar w:fldCharType="begin"/>
      </w:r>
      <w:r w:rsidR="00D95034" w:rsidRPr="007751C2">
        <w:rPr>
          <w:b/>
          <w:sz w:val="32"/>
          <w:szCs w:val="32"/>
          <w:lang w:val="fr-FR"/>
        </w:rPr>
        <w:instrText xml:space="preserve"> TOC \o "1-3" \h \z \u </w:instrText>
      </w:r>
      <w:r w:rsidRPr="007751C2">
        <w:rPr>
          <w:b/>
          <w:sz w:val="32"/>
          <w:szCs w:val="32"/>
          <w:lang w:val="fr-FR"/>
        </w:rPr>
        <w:fldChar w:fldCharType="separate"/>
      </w:r>
      <w:hyperlink w:anchor="_Toc377030199" w:history="1">
        <w:r w:rsidR="001D2D00" w:rsidRPr="007210AB">
          <w:rPr>
            <w:rStyle w:val="Lienhypertexte"/>
            <w:b/>
            <w:noProof/>
          </w:rPr>
          <w:t>Europe</w:t>
        </w:r>
        <w:r w:rsidR="001D2D00">
          <w:rPr>
            <w:noProof/>
            <w:webHidden/>
          </w:rPr>
          <w:tab/>
        </w:r>
        <w:r w:rsidR="001D2D00">
          <w:rPr>
            <w:noProof/>
            <w:webHidden/>
          </w:rPr>
          <w:fldChar w:fldCharType="begin"/>
        </w:r>
        <w:r w:rsidR="001D2D00">
          <w:rPr>
            <w:noProof/>
            <w:webHidden/>
          </w:rPr>
          <w:instrText xml:space="preserve"> PAGEREF _Toc377030199 \h </w:instrText>
        </w:r>
        <w:r w:rsidR="001D2D00">
          <w:rPr>
            <w:noProof/>
            <w:webHidden/>
          </w:rPr>
        </w:r>
        <w:r w:rsidR="001D2D00">
          <w:rPr>
            <w:noProof/>
            <w:webHidden/>
          </w:rPr>
          <w:fldChar w:fldCharType="separate"/>
        </w:r>
        <w:r w:rsidR="00007102">
          <w:rPr>
            <w:noProof/>
            <w:webHidden/>
          </w:rPr>
          <w:t>4</w:t>
        </w:r>
        <w:r w:rsidR="001D2D00">
          <w:rPr>
            <w:noProof/>
            <w:webHidden/>
          </w:rPr>
          <w:fldChar w:fldCharType="end"/>
        </w:r>
      </w:hyperlink>
    </w:p>
    <w:p w:rsidR="001D2D00" w:rsidRDefault="003E53DE" w:rsidP="007210AB">
      <w:pPr>
        <w:pStyle w:val="TM2"/>
        <w:rPr>
          <w:noProof/>
          <w:lang w:eastAsia="fr-BE"/>
        </w:rPr>
      </w:pPr>
      <w:hyperlink w:anchor="_Toc377030200" w:history="1">
        <w:r w:rsidR="001D2D00" w:rsidRPr="005965F2">
          <w:rPr>
            <w:rStyle w:val="Lienhypertexte"/>
            <w:noProof/>
          </w:rPr>
          <w:t>Directive biens et services</w:t>
        </w:r>
        <w:r w:rsidR="001D2D00">
          <w:rPr>
            <w:noProof/>
            <w:webHidden/>
          </w:rPr>
          <w:tab/>
        </w:r>
        <w:r w:rsidR="001D2D00">
          <w:rPr>
            <w:noProof/>
            <w:webHidden/>
          </w:rPr>
          <w:fldChar w:fldCharType="begin"/>
        </w:r>
        <w:r w:rsidR="001D2D00">
          <w:rPr>
            <w:noProof/>
            <w:webHidden/>
          </w:rPr>
          <w:instrText xml:space="preserve"> PAGEREF _Toc377030200 \h </w:instrText>
        </w:r>
        <w:r w:rsidR="001D2D00">
          <w:rPr>
            <w:noProof/>
            <w:webHidden/>
          </w:rPr>
        </w:r>
        <w:r w:rsidR="001D2D00">
          <w:rPr>
            <w:noProof/>
            <w:webHidden/>
          </w:rPr>
          <w:fldChar w:fldCharType="separate"/>
        </w:r>
        <w:r w:rsidR="00007102">
          <w:rPr>
            <w:noProof/>
            <w:webHidden/>
          </w:rPr>
          <w:t>4</w:t>
        </w:r>
        <w:r w:rsidR="001D2D00">
          <w:rPr>
            <w:noProof/>
            <w:webHidden/>
          </w:rPr>
          <w:fldChar w:fldCharType="end"/>
        </w:r>
      </w:hyperlink>
    </w:p>
    <w:p w:rsidR="001D2D00" w:rsidRDefault="003E53DE" w:rsidP="007210AB">
      <w:pPr>
        <w:pStyle w:val="TM2"/>
        <w:rPr>
          <w:noProof/>
          <w:lang w:eastAsia="fr-BE"/>
        </w:rPr>
      </w:pPr>
      <w:hyperlink w:anchor="_Toc377030201" w:history="1">
        <w:r w:rsidR="001D2D00" w:rsidRPr="005965F2">
          <w:rPr>
            <w:rStyle w:val="Lienhypertexte"/>
            <w:noProof/>
          </w:rPr>
          <w:t>Reconnaissance d’Equality Bodies et de National Human Rights Institutions</w:t>
        </w:r>
        <w:r w:rsidR="001D2D00">
          <w:rPr>
            <w:noProof/>
            <w:webHidden/>
          </w:rPr>
          <w:tab/>
        </w:r>
        <w:r w:rsidR="001D2D00">
          <w:rPr>
            <w:noProof/>
            <w:webHidden/>
          </w:rPr>
          <w:fldChar w:fldCharType="begin"/>
        </w:r>
        <w:r w:rsidR="001D2D00">
          <w:rPr>
            <w:noProof/>
            <w:webHidden/>
          </w:rPr>
          <w:instrText xml:space="preserve"> PAGEREF _Toc377030201 \h </w:instrText>
        </w:r>
        <w:r w:rsidR="001D2D00">
          <w:rPr>
            <w:noProof/>
            <w:webHidden/>
          </w:rPr>
        </w:r>
        <w:r w:rsidR="001D2D00">
          <w:rPr>
            <w:noProof/>
            <w:webHidden/>
          </w:rPr>
          <w:fldChar w:fldCharType="separate"/>
        </w:r>
        <w:r w:rsidR="00007102">
          <w:rPr>
            <w:noProof/>
            <w:webHidden/>
          </w:rPr>
          <w:t>4</w:t>
        </w:r>
        <w:r w:rsidR="001D2D00">
          <w:rPr>
            <w:noProof/>
            <w:webHidden/>
          </w:rPr>
          <w:fldChar w:fldCharType="end"/>
        </w:r>
      </w:hyperlink>
    </w:p>
    <w:p w:rsidR="001D2D00" w:rsidRDefault="003E53DE" w:rsidP="007210AB">
      <w:pPr>
        <w:pStyle w:val="TM2"/>
        <w:rPr>
          <w:noProof/>
          <w:lang w:eastAsia="fr-BE"/>
        </w:rPr>
      </w:pPr>
      <w:hyperlink w:anchor="_Toc377030202" w:history="1">
        <w:r w:rsidR="001D2D00" w:rsidRPr="005965F2">
          <w:rPr>
            <w:rStyle w:val="Lienhypertexte"/>
            <w:noProof/>
          </w:rPr>
          <w:t>Traite et trafic des êtres humains</w:t>
        </w:r>
        <w:r w:rsidR="001D2D00">
          <w:rPr>
            <w:noProof/>
            <w:webHidden/>
          </w:rPr>
          <w:tab/>
        </w:r>
        <w:r w:rsidR="001D2D00">
          <w:rPr>
            <w:noProof/>
            <w:webHidden/>
          </w:rPr>
          <w:fldChar w:fldCharType="begin"/>
        </w:r>
        <w:r w:rsidR="001D2D00">
          <w:rPr>
            <w:noProof/>
            <w:webHidden/>
          </w:rPr>
          <w:instrText xml:space="preserve"> PAGEREF _Toc377030202 \h </w:instrText>
        </w:r>
        <w:r w:rsidR="001D2D00">
          <w:rPr>
            <w:noProof/>
            <w:webHidden/>
          </w:rPr>
        </w:r>
        <w:r w:rsidR="001D2D00">
          <w:rPr>
            <w:noProof/>
            <w:webHidden/>
          </w:rPr>
          <w:fldChar w:fldCharType="separate"/>
        </w:r>
        <w:r w:rsidR="00007102">
          <w:rPr>
            <w:noProof/>
            <w:webHidden/>
          </w:rPr>
          <w:t>5</w:t>
        </w:r>
        <w:r w:rsidR="001D2D00">
          <w:rPr>
            <w:noProof/>
            <w:webHidden/>
          </w:rPr>
          <w:fldChar w:fldCharType="end"/>
        </w:r>
      </w:hyperlink>
    </w:p>
    <w:p w:rsidR="001D2D00" w:rsidRDefault="003E53DE" w:rsidP="007210AB">
      <w:pPr>
        <w:pStyle w:val="TM2"/>
        <w:rPr>
          <w:noProof/>
          <w:lang w:eastAsia="fr-BE"/>
        </w:rPr>
      </w:pPr>
      <w:hyperlink w:anchor="_Toc377030204" w:history="1">
        <w:r w:rsidR="001D2D00" w:rsidRPr="005965F2">
          <w:rPr>
            <w:rStyle w:val="Lienhypertexte"/>
            <w:noProof/>
          </w:rPr>
          <w:t>Feuille de route LGBT</w:t>
        </w:r>
        <w:r w:rsidR="001D2D00">
          <w:rPr>
            <w:noProof/>
            <w:webHidden/>
          </w:rPr>
          <w:tab/>
        </w:r>
        <w:r w:rsidR="001D2D00">
          <w:rPr>
            <w:noProof/>
            <w:webHidden/>
          </w:rPr>
          <w:fldChar w:fldCharType="begin"/>
        </w:r>
        <w:r w:rsidR="001D2D00">
          <w:rPr>
            <w:noProof/>
            <w:webHidden/>
          </w:rPr>
          <w:instrText xml:space="preserve"> PAGEREF _Toc377030204 \h </w:instrText>
        </w:r>
        <w:r w:rsidR="001D2D00">
          <w:rPr>
            <w:noProof/>
            <w:webHidden/>
          </w:rPr>
        </w:r>
        <w:r w:rsidR="001D2D00">
          <w:rPr>
            <w:noProof/>
            <w:webHidden/>
          </w:rPr>
          <w:fldChar w:fldCharType="separate"/>
        </w:r>
        <w:r w:rsidR="00007102">
          <w:rPr>
            <w:noProof/>
            <w:webHidden/>
          </w:rPr>
          <w:t>6</w:t>
        </w:r>
        <w:r w:rsidR="001D2D00">
          <w:rPr>
            <w:noProof/>
            <w:webHidden/>
          </w:rPr>
          <w:fldChar w:fldCharType="end"/>
        </w:r>
      </w:hyperlink>
    </w:p>
    <w:p w:rsidR="00953B3E" w:rsidRDefault="00953B3E">
      <w:pPr>
        <w:pStyle w:val="TM1"/>
        <w:tabs>
          <w:tab w:val="right" w:leader="dot" w:pos="9062"/>
        </w:tabs>
        <w:rPr>
          <w:noProof/>
        </w:rPr>
      </w:pPr>
    </w:p>
    <w:p w:rsidR="001D2D00" w:rsidRDefault="003E53DE">
      <w:pPr>
        <w:pStyle w:val="TM1"/>
        <w:tabs>
          <w:tab w:val="right" w:leader="dot" w:pos="9062"/>
        </w:tabs>
        <w:rPr>
          <w:noProof/>
          <w:lang w:eastAsia="fr-BE"/>
        </w:rPr>
      </w:pPr>
      <w:hyperlink w:anchor="_Toc377030205" w:history="1">
        <w:r w:rsidR="001D2D00" w:rsidRPr="007210AB">
          <w:rPr>
            <w:rStyle w:val="Lienhypertexte"/>
            <w:b/>
            <w:noProof/>
          </w:rPr>
          <w:t>Transversal</w:t>
        </w:r>
        <w:r w:rsidR="001D2D00">
          <w:rPr>
            <w:noProof/>
            <w:webHidden/>
          </w:rPr>
          <w:tab/>
        </w:r>
        <w:r w:rsidR="001D2D00">
          <w:rPr>
            <w:noProof/>
            <w:webHidden/>
          </w:rPr>
          <w:fldChar w:fldCharType="begin"/>
        </w:r>
        <w:r w:rsidR="001D2D00">
          <w:rPr>
            <w:noProof/>
            <w:webHidden/>
          </w:rPr>
          <w:instrText xml:space="preserve"> PAGEREF _Toc377030205 \h </w:instrText>
        </w:r>
        <w:r w:rsidR="001D2D00">
          <w:rPr>
            <w:noProof/>
            <w:webHidden/>
          </w:rPr>
        </w:r>
        <w:r w:rsidR="001D2D00">
          <w:rPr>
            <w:noProof/>
            <w:webHidden/>
          </w:rPr>
          <w:fldChar w:fldCharType="separate"/>
        </w:r>
        <w:r w:rsidR="00007102">
          <w:rPr>
            <w:noProof/>
            <w:webHidden/>
          </w:rPr>
          <w:t>7</w:t>
        </w:r>
        <w:r w:rsidR="001D2D00">
          <w:rPr>
            <w:noProof/>
            <w:webHidden/>
          </w:rPr>
          <w:fldChar w:fldCharType="end"/>
        </w:r>
      </w:hyperlink>
    </w:p>
    <w:p w:rsidR="001D2D00" w:rsidRDefault="003E53DE" w:rsidP="007210AB">
      <w:pPr>
        <w:pStyle w:val="TM2"/>
        <w:rPr>
          <w:noProof/>
          <w:lang w:eastAsia="fr-BE"/>
        </w:rPr>
      </w:pPr>
      <w:hyperlink w:anchor="_Toc377030206" w:history="1">
        <w:r w:rsidR="001D2D00" w:rsidRPr="005965F2">
          <w:rPr>
            <w:rStyle w:val="Lienhypertexte"/>
            <w:noProof/>
          </w:rPr>
          <w:t>Plans d’actions nationaux</w:t>
        </w:r>
        <w:r w:rsidR="001D2D00">
          <w:rPr>
            <w:noProof/>
            <w:webHidden/>
          </w:rPr>
          <w:tab/>
        </w:r>
        <w:r w:rsidR="001D2D00">
          <w:rPr>
            <w:noProof/>
            <w:webHidden/>
          </w:rPr>
          <w:fldChar w:fldCharType="begin"/>
        </w:r>
        <w:r w:rsidR="001D2D00">
          <w:rPr>
            <w:noProof/>
            <w:webHidden/>
          </w:rPr>
          <w:instrText xml:space="preserve"> PAGEREF _Toc377030206 \h </w:instrText>
        </w:r>
        <w:r w:rsidR="001D2D00">
          <w:rPr>
            <w:noProof/>
            <w:webHidden/>
          </w:rPr>
        </w:r>
        <w:r w:rsidR="001D2D00">
          <w:rPr>
            <w:noProof/>
            <w:webHidden/>
          </w:rPr>
          <w:fldChar w:fldCharType="separate"/>
        </w:r>
        <w:r w:rsidR="00007102">
          <w:rPr>
            <w:noProof/>
            <w:webHidden/>
          </w:rPr>
          <w:t>7</w:t>
        </w:r>
        <w:r w:rsidR="001D2D00">
          <w:rPr>
            <w:noProof/>
            <w:webHidden/>
          </w:rPr>
          <w:fldChar w:fldCharType="end"/>
        </w:r>
      </w:hyperlink>
    </w:p>
    <w:p w:rsidR="001D2D00" w:rsidRDefault="003E53DE" w:rsidP="007210AB">
      <w:pPr>
        <w:pStyle w:val="TM2"/>
        <w:rPr>
          <w:noProof/>
          <w:lang w:eastAsia="fr-BE"/>
        </w:rPr>
      </w:pPr>
      <w:hyperlink w:anchor="_Toc377030209" w:history="1">
        <w:r w:rsidR="001D2D00" w:rsidRPr="005965F2">
          <w:rPr>
            <w:rStyle w:val="Lienhypertexte"/>
            <w:noProof/>
          </w:rPr>
          <w:t>Signes convictionnels et neutralité des services publics</w:t>
        </w:r>
        <w:r w:rsidR="001D2D00">
          <w:rPr>
            <w:noProof/>
            <w:webHidden/>
          </w:rPr>
          <w:tab/>
        </w:r>
        <w:r w:rsidR="001D2D00">
          <w:rPr>
            <w:noProof/>
            <w:webHidden/>
          </w:rPr>
          <w:fldChar w:fldCharType="begin"/>
        </w:r>
        <w:r w:rsidR="001D2D00">
          <w:rPr>
            <w:noProof/>
            <w:webHidden/>
          </w:rPr>
          <w:instrText xml:space="preserve"> PAGEREF _Toc377030209 \h </w:instrText>
        </w:r>
        <w:r w:rsidR="001D2D00">
          <w:rPr>
            <w:noProof/>
            <w:webHidden/>
          </w:rPr>
        </w:r>
        <w:r w:rsidR="001D2D00">
          <w:rPr>
            <w:noProof/>
            <w:webHidden/>
          </w:rPr>
          <w:fldChar w:fldCharType="separate"/>
        </w:r>
        <w:r w:rsidR="00007102">
          <w:rPr>
            <w:noProof/>
            <w:webHidden/>
          </w:rPr>
          <w:t>8</w:t>
        </w:r>
        <w:r w:rsidR="001D2D00">
          <w:rPr>
            <w:noProof/>
            <w:webHidden/>
          </w:rPr>
          <w:fldChar w:fldCharType="end"/>
        </w:r>
      </w:hyperlink>
    </w:p>
    <w:p w:rsidR="001D2D00" w:rsidRDefault="003E53DE" w:rsidP="00953B3E">
      <w:pPr>
        <w:pStyle w:val="TM2"/>
        <w:rPr>
          <w:noProof/>
          <w:lang w:eastAsia="fr-BE"/>
        </w:rPr>
      </w:pPr>
      <w:hyperlink w:anchor="_Toc377030210" w:history="1">
        <w:r w:rsidR="001D2D00" w:rsidRPr="005965F2">
          <w:rPr>
            <w:rStyle w:val="Lienhypertexte"/>
            <w:noProof/>
          </w:rPr>
          <w:t>Handicap</w:t>
        </w:r>
        <w:r w:rsidR="001D2D00">
          <w:rPr>
            <w:noProof/>
            <w:webHidden/>
          </w:rPr>
          <w:tab/>
        </w:r>
        <w:r w:rsidR="001D2D00">
          <w:rPr>
            <w:noProof/>
            <w:webHidden/>
          </w:rPr>
          <w:fldChar w:fldCharType="begin"/>
        </w:r>
        <w:r w:rsidR="001D2D00">
          <w:rPr>
            <w:noProof/>
            <w:webHidden/>
          </w:rPr>
          <w:instrText xml:space="preserve"> PAGEREF _Toc377030210 \h </w:instrText>
        </w:r>
        <w:r w:rsidR="001D2D00">
          <w:rPr>
            <w:noProof/>
            <w:webHidden/>
          </w:rPr>
        </w:r>
        <w:r w:rsidR="001D2D00">
          <w:rPr>
            <w:noProof/>
            <w:webHidden/>
          </w:rPr>
          <w:fldChar w:fldCharType="separate"/>
        </w:r>
        <w:r w:rsidR="00007102">
          <w:rPr>
            <w:noProof/>
            <w:webHidden/>
          </w:rPr>
          <w:t>10</w:t>
        </w:r>
        <w:r w:rsidR="001D2D00">
          <w:rPr>
            <w:noProof/>
            <w:webHidden/>
          </w:rPr>
          <w:fldChar w:fldCharType="end"/>
        </w:r>
      </w:hyperlink>
    </w:p>
    <w:p w:rsidR="001D2D00" w:rsidRDefault="003E53DE" w:rsidP="007210AB">
      <w:pPr>
        <w:pStyle w:val="TM2"/>
        <w:rPr>
          <w:noProof/>
          <w:lang w:eastAsia="fr-BE"/>
        </w:rPr>
      </w:pPr>
      <w:hyperlink w:anchor="_Toc377030213" w:history="1">
        <w:r w:rsidR="001D2D00" w:rsidRPr="005965F2">
          <w:rPr>
            <w:rStyle w:val="Lienhypertexte"/>
            <w:noProof/>
          </w:rPr>
          <w:t>E-learning</w:t>
        </w:r>
        <w:r w:rsidR="001D2D00">
          <w:rPr>
            <w:noProof/>
            <w:webHidden/>
          </w:rPr>
          <w:tab/>
        </w:r>
        <w:r w:rsidR="001D2D00">
          <w:rPr>
            <w:noProof/>
            <w:webHidden/>
          </w:rPr>
          <w:fldChar w:fldCharType="begin"/>
        </w:r>
        <w:r w:rsidR="001D2D00">
          <w:rPr>
            <w:noProof/>
            <w:webHidden/>
          </w:rPr>
          <w:instrText xml:space="preserve"> PAGEREF _Toc377030213 \h </w:instrText>
        </w:r>
        <w:r w:rsidR="001D2D00">
          <w:rPr>
            <w:noProof/>
            <w:webHidden/>
          </w:rPr>
        </w:r>
        <w:r w:rsidR="001D2D00">
          <w:rPr>
            <w:noProof/>
            <w:webHidden/>
          </w:rPr>
          <w:fldChar w:fldCharType="separate"/>
        </w:r>
        <w:r w:rsidR="00007102">
          <w:rPr>
            <w:noProof/>
            <w:webHidden/>
          </w:rPr>
          <w:t>12</w:t>
        </w:r>
        <w:r w:rsidR="001D2D00">
          <w:rPr>
            <w:noProof/>
            <w:webHidden/>
          </w:rPr>
          <w:fldChar w:fldCharType="end"/>
        </w:r>
      </w:hyperlink>
    </w:p>
    <w:p w:rsidR="001D2D00" w:rsidRDefault="003E53DE" w:rsidP="007210AB">
      <w:pPr>
        <w:pStyle w:val="TM2"/>
        <w:rPr>
          <w:noProof/>
          <w:lang w:eastAsia="fr-BE"/>
        </w:rPr>
      </w:pPr>
      <w:hyperlink w:anchor="_Toc377030214" w:history="1">
        <w:r w:rsidR="00442724">
          <w:rPr>
            <w:rStyle w:val="Lienhypertexte"/>
            <w:noProof/>
          </w:rPr>
          <w:t>Mesurer c’est s</w:t>
        </w:r>
        <w:r w:rsidR="001D2D00" w:rsidRPr="005965F2">
          <w:rPr>
            <w:rStyle w:val="Lienhypertexte"/>
            <w:noProof/>
          </w:rPr>
          <w:t>avoir</w:t>
        </w:r>
        <w:r w:rsidR="001D2D00">
          <w:rPr>
            <w:noProof/>
            <w:webHidden/>
          </w:rPr>
          <w:tab/>
        </w:r>
        <w:r w:rsidR="001D2D00">
          <w:rPr>
            <w:noProof/>
            <w:webHidden/>
          </w:rPr>
          <w:fldChar w:fldCharType="begin"/>
        </w:r>
        <w:r w:rsidR="001D2D00">
          <w:rPr>
            <w:noProof/>
            <w:webHidden/>
          </w:rPr>
          <w:instrText xml:space="preserve"> PAGEREF _Toc377030214 \h </w:instrText>
        </w:r>
        <w:r w:rsidR="001D2D00">
          <w:rPr>
            <w:noProof/>
            <w:webHidden/>
          </w:rPr>
        </w:r>
        <w:r w:rsidR="001D2D00">
          <w:rPr>
            <w:noProof/>
            <w:webHidden/>
          </w:rPr>
          <w:fldChar w:fldCharType="separate"/>
        </w:r>
        <w:r w:rsidR="00007102">
          <w:rPr>
            <w:noProof/>
            <w:webHidden/>
          </w:rPr>
          <w:t>12</w:t>
        </w:r>
        <w:r w:rsidR="001D2D00">
          <w:rPr>
            <w:noProof/>
            <w:webHidden/>
          </w:rPr>
          <w:fldChar w:fldCharType="end"/>
        </w:r>
      </w:hyperlink>
    </w:p>
    <w:p w:rsidR="00953B3E" w:rsidRDefault="00953B3E">
      <w:pPr>
        <w:pStyle w:val="TM1"/>
        <w:tabs>
          <w:tab w:val="right" w:leader="dot" w:pos="9062"/>
        </w:tabs>
        <w:rPr>
          <w:noProof/>
        </w:rPr>
      </w:pPr>
    </w:p>
    <w:p w:rsidR="001D2D00" w:rsidRDefault="003E53DE">
      <w:pPr>
        <w:pStyle w:val="TM1"/>
        <w:tabs>
          <w:tab w:val="right" w:leader="dot" w:pos="9062"/>
        </w:tabs>
        <w:rPr>
          <w:noProof/>
          <w:lang w:eastAsia="fr-BE"/>
        </w:rPr>
      </w:pPr>
      <w:hyperlink w:anchor="_Toc377030215" w:history="1">
        <w:r w:rsidR="001D2D00" w:rsidRPr="007210AB">
          <w:rPr>
            <w:rStyle w:val="Lienhypertexte"/>
            <w:b/>
            <w:noProof/>
          </w:rPr>
          <w:t>Intérieur</w:t>
        </w:r>
        <w:r w:rsidR="001D2D00">
          <w:rPr>
            <w:noProof/>
            <w:webHidden/>
          </w:rPr>
          <w:tab/>
        </w:r>
        <w:r w:rsidR="001D2D00">
          <w:rPr>
            <w:noProof/>
            <w:webHidden/>
          </w:rPr>
          <w:fldChar w:fldCharType="begin"/>
        </w:r>
        <w:r w:rsidR="001D2D00">
          <w:rPr>
            <w:noProof/>
            <w:webHidden/>
          </w:rPr>
          <w:instrText xml:space="preserve"> PAGEREF _Toc377030215 \h </w:instrText>
        </w:r>
        <w:r w:rsidR="001D2D00">
          <w:rPr>
            <w:noProof/>
            <w:webHidden/>
          </w:rPr>
        </w:r>
        <w:r w:rsidR="001D2D00">
          <w:rPr>
            <w:noProof/>
            <w:webHidden/>
          </w:rPr>
          <w:fldChar w:fldCharType="separate"/>
        </w:r>
        <w:r w:rsidR="00007102">
          <w:rPr>
            <w:noProof/>
            <w:webHidden/>
          </w:rPr>
          <w:t>14</w:t>
        </w:r>
        <w:r w:rsidR="001D2D00">
          <w:rPr>
            <w:noProof/>
            <w:webHidden/>
          </w:rPr>
          <w:fldChar w:fldCharType="end"/>
        </w:r>
      </w:hyperlink>
    </w:p>
    <w:p w:rsidR="001D2D00" w:rsidRDefault="003E53DE" w:rsidP="007210AB">
      <w:pPr>
        <w:pStyle w:val="TM2"/>
        <w:rPr>
          <w:noProof/>
          <w:lang w:eastAsia="fr-BE"/>
        </w:rPr>
      </w:pPr>
      <w:hyperlink w:anchor="_Toc377030216" w:history="1">
        <w:r w:rsidR="001D2D00" w:rsidRPr="005965F2">
          <w:rPr>
            <w:rStyle w:val="Lienhypertexte"/>
            <w:noProof/>
          </w:rPr>
          <w:t>Police</w:t>
        </w:r>
        <w:r w:rsidR="001D2D00">
          <w:rPr>
            <w:noProof/>
            <w:webHidden/>
          </w:rPr>
          <w:tab/>
        </w:r>
        <w:r w:rsidR="001D2D00">
          <w:rPr>
            <w:noProof/>
            <w:webHidden/>
          </w:rPr>
          <w:fldChar w:fldCharType="begin"/>
        </w:r>
        <w:r w:rsidR="001D2D00">
          <w:rPr>
            <w:noProof/>
            <w:webHidden/>
          </w:rPr>
          <w:instrText xml:space="preserve"> PAGEREF _Toc377030216 \h </w:instrText>
        </w:r>
        <w:r w:rsidR="001D2D00">
          <w:rPr>
            <w:noProof/>
            <w:webHidden/>
          </w:rPr>
        </w:r>
        <w:r w:rsidR="001D2D00">
          <w:rPr>
            <w:noProof/>
            <w:webHidden/>
          </w:rPr>
          <w:fldChar w:fldCharType="separate"/>
        </w:r>
        <w:r w:rsidR="00007102">
          <w:rPr>
            <w:noProof/>
            <w:webHidden/>
          </w:rPr>
          <w:t>14</w:t>
        </w:r>
        <w:r w:rsidR="001D2D00">
          <w:rPr>
            <w:noProof/>
            <w:webHidden/>
          </w:rPr>
          <w:fldChar w:fldCharType="end"/>
        </w:r>
      </w:hyperlink>
    </w:p>
    <w:p w:rsidR="001D2D00" w:rsidRDefault="003E53DE" w:rsidP="007210AB">
      <w:pPr>
        <w:pStyle w:val="TM2"/>
        <w:rPr>
          <w:noProof/>
          <w:lang w:eastAsia="fr-BE"/>
        </w:rPr>
      </w:pPr>
      <w:hyperlink w:anchor="_Toc377030219" w:history="1">
        <w:r w:rsidR="001D2D00" w:rsidRPr="005965F2">
          <w:rPr>
            <w:rStyle w:val="Lienhypertexte"/>
            <w:noProof/>
          </w:rPr>
          <w:t>Migration</w:t>
        </w:r>
        <w:r w:rsidR="001D2D00">
          <w:rPr>
            <w:noProof/>
            <w:webHidden/>
          </w:rPr>
          <w:tab/>
        </w:r>
        <w:r w:rsidR="001D2D00">
          <w:rPr>
            <w:noProof/>
            <w:webHidden/>
          </w:rPr>
          <w:fldChar w:fldCharType="begin"/>
        </w:r>
        <w:r w:rsidR="001D2D00">
          <w:rPr>
            <w:noProof/>
            <w:webHidden/>
          </w:rPr>
          <w:instrText xml:space="preserve"> PAGEREF _Toc377030219 \h </w:instrText>
        </w:r>
        <w:r w:rsidR="001D2D00">
          <w:rPr>
            <w:noProof/>
            <w:webHidden/>
          </w:rPr>
        </w:r>
        <w:r w:rsidR="001D2D00">
          <w:rPr>
            <w:noProof/>
            <w:webHidden/>
          </w:rPr>
          <w:fldChar w:fldCharType="separate"/>
        </w:r>
        <w:r w:rsidR="00007102">
          <w:rPr>
            <w:noProof/>
            <w:webHidden/>
          </w:rPr>
          <w:t>15</w:t>
        </w:r>
        <w:r w:rsidR="001D2D00">
          <w:rPr>
            <w:noProof/>
            <w:webHidden/>
          </w:rPr>
          <w:fldChar w:fldCharType="end"/>
        </w:r>
      </w:hyperlink>
    </w:p>
    <w:p w:rsidR="001D2D00" w:rsidRDefault="003E53DE" w:rsidP="007210AB">
      <w:pPr>
        <w:pStyle w:val="TM2"/>
        <w:rPr>
          <w:noProof/>
          <w:lang w:eastAsia="fr-BE"/>
        </w:rPr>
      </w:pPr>
      <w:hyperlink w:anchor="_Toc377030222" w:history="1">
        <w:r w:rsidR="001D2D00" w:rsidRPr="005965F2">
          <w:rPr>
            <w:rStyle w:val="Lienhypertexte"/>
            <w:noProof/>
          </w:rPr>
          <w:t>Santé, affaires sociales et intégration</w:t>
        </w:r>
        <w:r w:rsidR="001D2D00">
          <w:rPr>
            <w:noProof/>
            <w:webHidden/>
          </w:rPr>
          <w:tab/>
        </w:r>
        <w:r w:rsidR="001D2D00">
          <w:rPr>
            <w:noProof/>
            <w:webHidden/>
          </w:rPr>
          <w:fldChar w:fldCharType="begin"/>
        </w:r>
        <w:r w:rsidR="001D2D00">
          <w:rPr>
            <w:noProof/>
            <w:webHidden/>
          </w:rPr>
          <w:instrText xml:space="preserve"> PAGEREF _Toc377030222 \h </w:instrText>
        </w:r>
        <w:r w:rsidR="001D2D00">
          <w:rPr>
            <w:noProof/>
            <w:webHidden/>
          </w:rPr>
        </w:r>
        <w:r w:rsidR="001D2D00">
          <w:rPr>
            <w:noProof/>
            <w:webHidden/>
          </w:rPr>
          <w:fldChar w:fldCharType="separate"/>
        </w:r>
        <w:r w:rsidR="00007102">
          <w:rPr>
            <w:noProof/>
            <w:webHidden/>
          </w:rPr>
          <w:t>17</w:t>
        </w:r>
        <w:r w:rsidR="001D2D00">
          <w:rPr>
            <w:noProof/>
            <w:webHidden/>
          </w:rPr>
          <w:fldChar w:fldCharType="end"/>
        </w:r>
      </w:hyperlink>
    </w:p>
    <w:p w:rsidR="001D2D00" w:rsidRDefault="001D2D00" w:rsidP="007210AB">
      <w:pPr>
        <w:pStyle w:val="TM3"/>
        <w:rPr>
          <w:noProof/>
          <w:lang w:eastAsia="fr-BE"/>
        </w:rPr>
      </w:pPr>
    </w:p>
    <w:p w:rsidR="001D2D00" w:rsidRDefault="003E53DE">
      <w:pPr>
        <w:pStyle w:val="TM1"/>
        <w:tabs>
          <w:tab w:val="right" w:leader="dot" w:pos="9062"/>
        </w:tabs>
        <w:rPr>
          <w:noProof/>
          <w:lang w:eastAsia="fr-BE"/>
        </w:rPr>
      </w:pPr>
      <w:hyperlink w:anchor="_Toc377030224" w:history="1">
        <w:r w:rsidR="001D2D00" w:rsidRPr="007210AB">
          <w:rPr>
            <w:rStyle w:val="Lienhypertexte"/>
            <w:b/>
            <w:noProof/>
          </w:rPr>
          <w:t>Justice</w:t>
        </w:r>
        <w:r w:rsidR="001D2D00">
          <w:rPr>
            <w:noProof/>
            <w:webHidden/>
          </w:rPr>
          <w:tab/>
        </w:r>
        <w:r w:rsidR="001D2D00">
          <w:rPr>
            <w:noProof/>
            <w:webHidden/>
          </w:rPr>
          <w:fldChar w:fldCharType="begin"/>
        </w:r>
        <w:r w:rsidR="001D2D00">
          <w:rPr>
            <w:noProof/>
            <w:webHidden/>
          </w:rPr>
          <w:instrText xml:space="preserve"> PAGEREF _Toc377030224 \h </w:instrText>
        </w:r>
        <w:r w:rsidR="001D2D00">
          <w:rPr>
            <w:noProof/>
            <w:webHidden/>
          </w:rPr>
        </w:r>
        <w:r w:rsidR="001D2D00">
          <w:rPr>
            <w:noProof/>
            <w:webHidden/>
          </w:rPr>
          <w:fldChar w:fldCharType="separate"/>
        </w:r>
        <w:r w:rsidR="00007102">
          <w:rPr>
            <w:noProof/>
            <w:webHidden/>
          </w:rPr>
          <w:t>19</w:t>
        </w:r>
        <w:r w:rsidR="001D2D00">
          <w:rPr>
            <w:noProof/>
            <w:webHidden/>
          </w:rPr>
          <w:fldChar w:fldCharType="end"/>
        </w:r>
      </w:hyperlink>
    </w:p>
    <w:p w:rsidR="001D2D00" w:rsidRDefault="003E53DE" w:rsidP="007210AB">
      <w:pPr>
        <w:pStyle w:val="TM2"/>
        <w:rPr>
          <w:noProof/>
          <w:lang w:eastAsia="fr-BE"/>
        </w:rPr>
      </w:pPr>
      <w:hyperlink w:anchor="_Toc377030225" w:history="1">
        <w:r w:rsidR="001D2D00" w:rsidRPr="005965F2">
          <w:rPr>
            <w:rStyle w:val="Lienhypertexte"/>
            <w:noProof/>
          </w:rPr>
          <w:t>Nationalité</w:t>
        </w:r>
        <w:r w:rsidR="001D2D00">
          <w:rPr>
            <w:noProof/>
            <w:webHidden/>
          </w:rPr>
          <w:tab/>
        </w:r>
        <w:r w:rsidR="001D2D00">
          <w:rPr>
            <w:noProof/>
            <w:webHidden/>
          </w:rPr>
          <w:fldChar w:fldCharType="begin"/>
        </w:r>
        <w:r w:rsidR="001D2D00">
          <w:rPr>
            <w:noProof/>
            <w:webHidden/>
          </w:rPr>
          <w:instrText xml:space="preserve"> PAGEREF _Toc377030225 \h </w:instrText>
        </w:r>
        <w:r w:rsidR="001D2D00">
          <w:rPr>
            <w:noProof/>
            <w:webHidden/>
          </w:rPr>
        </w:r>
        <w:r w:rsidR="001D2D00">
          <w:rPr>
            <w:noProof/>
            <w:webHidden/>
          </w:rPr>
          <w:fldChar w:fldCharType="separate"/>
        </w:r>
        <w:r w:rsidR="00007102">
          <w:rPr>
            <w:noProof/>
            <w:webHidden/>
          </w:rPr>
          <w:t>19</w:t>
        </w:r>
        <w:r w:rsidR="001D2D00">
          <w:rPr>
            <w:noProof/>
            <w:webHidden/>
          </w:rPr>
          <w:fldChar w:fldCharType="end"/>
        </w:r>
      </w:hyperlink>
    </w:p>
    <w:p w:rsidR="001D2D00" w:rsidRDefault="003E53DE" w:rsidP="007210AB">
      <w:pPr>
        <w:pStyle w:val="TM2"/>
        <w:rPr>
          <w:noProof/>
          <w:lang w:eastAsia="fr-BE"/>
        </w:rPr>
      </w:pPr>
      <w:hyperlink w:anchor="_Toc377030226" w:history="1">
        <w:r w:rsidR="001D2D00" w:rsidRPr="005965F2">
          <w:rPr>
            <w:rStyle w:val="Lienhypertexte"/>
            <w:noProof/>
          </w:rPr>
          <w:t>Traite des êtres humains</w:t>
        </w:r>
        <w:r w:rsidR="001D2D00">
          <w:rPr>
            <w:noProof/>
            <w:webHidden/>
          </w:rPr>
          <w:tab/>
        </w:r>
        <w:r w:rsidR="001D2D00">
          <w:rPr>
            <w:noProof/>
            <w:webHidden/>
          </w:rPr>
          <w:fldChar w:fldCharType="begin"/>
        </w:r>
        <w:r w:rsidR="001D2D00">
          <w:rPr>
            <w:noProof/>
            <w:webHidden/>
          </w:rPr>
          <w:instrText xml:space="preserve"> PAGEREF _Toc377030226 \h </w:instrText>
        </w:r>
        <w:r w:rsidR="001D2D00">
          <w:rPr>
            <w:noProof/>
            <w:webHidden/>
          </w:rPr>
        </w:r>
        <w:r w:rsidR="001D2D00">
          <w:rPr>
            <w:noProof/>
            <w:webHidden/>
          </w:rPr>
          <w:fldChar w:fldCharType="separate"/>
        </w:r>
        <w:r w:rsidR="00007102">
          <w:rPr>
            <w:noProof/>
            <w:webHidden/>
          </w:rPr>
          <w:t>20</w:t>
        </w:r>
        <w:r w:rsidR="001D2D00">
          <w:rPr>
            <w:noProof/>
            <w:webHidden/>
          </w:rPr>
          <w:fldChar w:fldCharType="end"/>
        </w:r>
      </w:hyperlink>
    </w:p>
    <w:p w:rsidR="001D2D00" w:rsidRDefault="003E53DE" w:rsidP="007210AB">
      <w:pPr>
        <w:pStyle w:val="TM2"/>
        <w:rPr>
          <w:noProof/>
          <w:lang w:eastAsia="fr-BE"/>
        </w:rPr>
      </w:pPr>
      <w:hyperlink w:anchor="_Toc377030227" w:history="1">
        <w:r w:rsidR="001D2D00" w:rsidRPr="005965F2">
          <w:rPr>
            <w:rStyle w:val="Lienhypertexte"/>
            <w:noProof/>
          </w:rPr>
          <w:t>Orientation sexuelle – Parentalité</w:t>
        </w:r>
        <w:r w:rsidR="001D2D00">
          <w:rPr>
            <w:noProof/>
            <w:webHidden/>
          </w:rPr>
          <w:tab/>
        </w:r>
        <w:r w:rsidR="001D2D00">
          <w:rPr>
            <w:noProof/>
            <w:webHidden/>
          </w:rPr>
          <w:fldChar w:fldCharType="begin"/>
        </w:r>
        <w:r w:rsidR="001D2D00">
          <w:rPr>
            <w:noProof/>
            <w:webHidden/>
          </w:rPr>
          <w:instrText xml:space="preserve"> PAGEREF _Toc377030227 \h </w:instrText>
        </w:r>
        <w:r w:rsidR="001D2D00">
          <w:rPr>
            <w:noProof/>
            <w:webHidden/>
          </w:rPr>
        </w:r>
        <w:r w:rsidR="001D2D00">
          <w:rPr>
            <w:noProof/>
            <w:webHidden/>
          </w:rPr>
          <w:fldChar w:fldCharType="separate"/>
        </w:r>
        <w:r w:rsidR="00007102">
          <w:rPr>
            <w:noProof/>
            <w:webHidden/>
          </w:rPr>
          <w:t>20</w:t>
        </w:r>
        <w:r w:rsidR="001D2D00">
          <w:rPr>
            <w:noProof/>
            <w:webHidden/>
          </w:rPr>
          <w:fldChar w:fldCharType="end"/>
        </w:r>
      </w:hyperlink>
    </w:p>
    <w:p w:rsidR="001D2D00" w:rsidRDefault="003E53DE" w:rsidP="007210AB">
      <w:pPr>
        <w:pStyle w:val="TM2"/>
        <w:rPr>
          <w:noProof/>
          <w:lang w:eastAsia="fr-BE"/>
        </w:rPr>
      </w:pPr>
      <w:hyperlink w:anchor="_Toc377030228" w:history="1">
        <w:r w:rsidR="001D2D00" w:rsidRPr="005965F2">
          <w:rPr>
            <w:rStyle w:val="Lienhypertexte"/>
            <w:noProof/>
          </w:rPr>
          <w:t>COL 13/2013</w:t>
        </w:r>
        <w:r w:rsidR="001D2D00">
          <w:rPr>
            <w:noProof/>
            <w:webHidden/>
          </w:rPr>
          <w:tab/>
        </w:r>
        <w:r w:rsidR="001D2D00">
          <w:rPr>
            <w:noProof/>
            <w:webHidden/>
          </w:rPr>
          <w:fldChar w:fldCharType="begin"/>
        </w:r>
        <w:r w:rsidR="001D2D00">
          <w:rPr>
            <w:noProof/>
            <w:webHidden/>
          </w:rPr>
          <w:instrText xml:space="preserve"> PAGEREF _Toc377030228 \h </w:instrText>
        </w:r>
        <w:r w:rsidR="001D2D00">
          <w:rPr>
            <w:noProof/>
            <w:webHidden/>
          </w:rPr>
        </w:r>
        <w:r w:rsidR="001D2D00">
          <w:rPr>
            <w:noProof/>
            <w:webHidden/>
          </w:rPr>
          <w:fldChar w:fldCharType="separate"/>
        </w:r>
        <w:r w:rsidR="00007102">
          <w:rPr>
            <w:noProof/>
            <w:webHidden/>
          </w:rPr>
          <w:t>21</w:t>
        </w:r>
        <w:r w:rsidR="001D2D00">
          <w:rPr>
            <w:noProof/>
            <w:webHidden/>
          </w:rPr>
          <w:fldChar w:fldCharType="end"/>
        </w:r>
      </w:hyperlink>
    </w:p>
    <w:p w:rsidR="001D2D00" w:rsidRDefault="003E53DE" w:rsidP="007210AB">
      <w:pPr>
        <w:pStyle w:val="TM2"/>
        <w:rPr>
          <w:noProof/>
          <w:lang w:eastAsia="fr-BE"/>
        </w:rPr>
      </w:pPr>
      <w:hyperlink w:anchor="_Toc377030229" w:history="1">
        <w:r w:rsidR="001D2D00" w:rsidRPr="005965F2">
          <w:rPr>
            <w:rStyle w:val="Lienhypertexte"/>
            <w:noProof/>
          </w:rPr>
          <w:t>Mesures alternatives</w:t>
        </w:r>
        <w:r w:rsidR="001D2D00">
          <w:rPr>
            <w:noProof/>
            <w:webHidden/>
          </w:rPr>
          <w:tab/>
        </w:r>
        <w:r w:rsidR="001D2D00">
          <w:rPr>
            <w:noProof/>
            <w:webHidden/>
          </w:rPr>
          <w:fldChar w:fldCharType="begin"/>
        </w:r>
        <w:r w:rsidR="001D2D00">
          <w:rPr>
            <w:noProof/>
            <w:webHidden/>
          </w:rPr>
          <w:instrText xml:space="preserve"> PAGEREF _Toc377030229 \h </w:instrText>
        </w:r>
        <w:r w:rsidR="001D2D00">
          <w:rPr>
            <w:noProof/>
            <w:webHidden/>
          </w:rPr>
        </w:r>
        <w:r w:rsidR="001D2D00">
          <w:rPr>
            <w:noProof/>
            <w:webHidden/>
          </w:rPr>
          <w:fldChar w:fldCharType="separate"/>
        </w:r>
        <w:r w:rsidR="00007102">
          <w:rPr>
            <w:noProof/>
            <w:webHidden/>
          </w:rPr>
          <w:t>23</w:t>
        </w:r>
        <w:r w:rsidR="001D2D00">
          <w:rPr>
            <w:noProof/>
            <w:webHidden/>
          </w:rPr>
          <w:fldChar w:fldCharType="end"/>
        </w:r>
      </w:hyperlink>
    </w:p>
    <w:p w:rsidR="001D2D00" w:rsidRDefault="003E53DE" w:rsidP="007210AB">
      <w:pPr>
        <w:pStyle w:val="TM2"/>
        <w:rPr>
          <w:noProof/>
          <w:lang w:eastAsia="fr-BE"/>
        </w:rPr>
      </w:pPr>
      <w:hyperlink w:anchor="_Toc377030230" w:history="1">
        <w:r w:rsidR="001D2D00" w:rsidRPr="005965F2">
          <w:rPr>
            <w:rStyle w:val="Lienhypertexte"/>
            <w:noProof/>
          </w:rPr>
          <w:t>Correctionnalisation des délits de presse discriminatoires</w:t>
        </w:r>
        <w:r w:rsidR="001D2D00">
          <w:rPr>
            <w:noProof/>
            <w:webHidden/>
          </w:rPr>
          <w:tab/>
        </w:r>
        <w:r w:rsidR="001D2D00">
          <w:rPr>
            <w:noProof/>
            <w:webHidden/>
          </w:rPr>
          <w:fldChar w:fldCharType="begin"/>
        </w:r>
        <w:r w:rsidR="001D2D00">
          <w:rPr>
            <w:noProof/>
            <w:webHidden/>
          </w:rPr>
          <w:instrText xml:space="preserve"> PAGEREF _Toc377030230 \h </w:instrText>
        </w:r>
        <w:r w:rsidR="001D2D00">
          <w:rPr>
            <w:noProof/>
            <w:webHidden/>
          </w:rPr>
        </w:r>
        <w:r w:rsidR="001D2D00">
          <w:rPr>
            <w:noProof/>
            <w:webHidden/>
          </w:rPr>
          <w:fldChar w:fldCharType="separate"/>
        </w:r>
        <w:r w:rsidR="00007102">
          <w:rPr>
            <w:noProof/>
            <w:webHidden/>
          </w:rPr>
          <w:t>24</w:t>
        </w:r>
        <w:r w:rsidR="001D2D00">
          <w:rPr>
            <w:noProof/>
            <w:webHidden/>
          </w:rPr>
          <w:fldChar w:fldCharType="end"/>
        </w:r>
      </w:hyperlink>
    </w:p>
    <w:p w:rsidR="00953B3E" w:rsidRDefault="00953B3E">
      <w:pPr>
        <w:pStyle w:val="TM1"/>
        <w:tabs>
          <w:tab w:val="right" w:leader="dot" w:pos="9062"/>
        </w:tabs>
        <w:rPr>
          <w:noProof/>
        </w:rPr>
      </w:pPr>
    </w:p>
    <w:p w:rsidR="001D2D00" w:rsidRDefault="003E53DE">
      <w:pPr>
        <w:pStyle w:val="TM1"/>
        <w:tabs>
          <w:tab w:val="right" w:leader="dot" w:pos="9062"/>
        </w:tabs>
        <w:rPr>
          <w:noProof/>
          <w:lang w:eastAsia="fr-BE"/>
        </w:rPr>
      </w:pPr>
      <w:hyperlink w:anchor="_Toc377030231" w:history="1">
        <w:r w:rsidR="001D2D00" w:rsidRPr="007210AB">
          <w:rPr>
            <w:rStyle w:val="Lienhypertexte"/>
            <w:b/>
            <w:noProof/>
          </w:rPr>
          <w:t>Égalité des chances</w:t>
        </w:r>
        <w:r w:rsidR="001D2D00">
          <w:rPr>
            <w:noProof/>
            <w:webHidden/>
          </w:rPr>
          <w:tab/>
        </w:r>
        <w:r w:rsidR="001D2D00">
          <w:rPr>
            <w:noProof/>
            <w:webHidden/>
          </w:rPr>
          <w:fldChar w:fldCharType="begin"/>
        </w:r>
        <w:r w:rsidR="001D2D00">
          <w:rPr>
            <w:noProof/>
            <w:webHidden/>
          </w:rPr>
          <w:instrText xml:space="preserve"> PAGEREF _Toc377030231 \h </w:instrText>
        </w:r>
        <w:r w:rsidR="001D2D00">
          <w:rPr>
            <w:noProof/>
            <w:webHidden/>
          </w:rPr>
        </w:r>
        <w:r w:rsidR="001D2D00">
          <w:rPr>
            <w:noProof/>
            <w:webHidden/>
          </w:rPr>
          <w:fldChar w:fldCharType="separate"/>
        </w:r>
        <w:r w:rsidR="00007102">
          <w:rPr>
            <w:noProof/>
            <w:webHidden/>
          </w:rPr>
          <w:t>25</w:t>
        </w:r>
        <w:r w:rsidR="001D2D00">
          <w:rPr>
            <w:noProof/>
            <w:webHidden/>
          </w:rPr>
          <w:fldChar w:fldCharType="end"/>
        </w:r>
      </w:hyperlink>
    </w:p>
    <w:p w:rsidR="001D2D00" w:rsidRDefault="003E53DE" w:rsidP="007210AB">
      <w:pPr>
        <w:pStyle w:val="TM2"/>
        <w:rPr>
          <w:noProof/>
          <w:lang w:eastAsia="fr-BE"/>
        </w:rPr>
      </w:pPr>
      <w:hyperlink w:anchor="_Toc377030232" w:history="1">
        <w:r w:rsidR="001D2D00" w:rsidRPr="005965F2">
          <w:rPr>
            <w:rStyle w:val="Lienhypertexte"/>
            <w:noProof/>
          </w:rPr>
          <w:t>Évaluation de la législation antidiscrimination</w:t>
        </w:r>
        <w:r w:rsidR="001D2D00">
          <w:rPr>
            <w:noProof/>
            <w:webHidden/>
          </w:rPr>
          <w:tab/>
        </w:r>
        <w:r w:rsidR="001D2D00">
          <w:rPr>
            <w:noProof/>
            <w:webHidden/>
          </w:rPr>
          <w:fldChar w:fldCharType="begin"/>
        </w:r>
        <w:r w:rsidR="001D2D00">
          <w:rPr>
            <w:noProof/>
            <w:webHidden/>
          </w:rPr>
          <w:instrText xml:space="preserve"> PAGEREF _Toc377030232 \h </w:instrText>
        </w:r>
        <w:r w:rsidR="001D2D00">
          <w:rPr>
            <w:noProof/>
            <w:webHidden/>
          </w:rPr>
        </w:r>
        <w:r w:rsidR="001D2D00">
          <w:rPr>
            <w:noProof/>
            <w:webHidden/>
          </w:rPr>
          <w:fldChar w:fldCharType="separate"/>
        </w:r>
        <w:r w:rsidR="00007102">
          <w:rPr>
            <w:noProof/>
            <w:webHidden/>
          </w:rPr>
          <w:t>25</w:t>
        </w:r>
        <w:r w:rsidR="001D2D00">
          <w:rPr>
            <w:noProof/>
            <w:webHidden/>
          </w:rPr>
          <w:fldChar w:fldCharType="end"/>
        </w:r>
      </w:hyperlink>
    </w:p>
    <w:p w:rsidR="001D2D00" w:rsidRDefault="003E53DE" w:rsidP="007210AB">
      <w:pPr>
        <w:pStyle w:val="TM2"/>
        <w:rPr>
          <w:noProof/>
          <w:lang w:eastAsia="fr-BE"/>
        </w:rPr>
      </w:pPr>
      <w:hyperlink w:anchor="_Toc377030233" w:history="1">
        <w:r w:rsidR="001D2D00" w:rsidRPr="005965F2">
          <w:rPr>
            <w:rStyle w:val="Lienhypertexte"/>
            <w:noProof/>
          </w:rPr>
          <w:t>FIPI – niveau fédéral</w:t>
        </w:r>
        <w:r w:rsidR="001D2D00">
          <w:rPr>
            <w:noProof/>
            <w:webHidden/>
          </w:rPr>
          <w:tab/>
        </w:r>
        <w:r w:rsidR="001D2D00">
          <w:rPr>
            <w:noProof/>
            <w:webHidden/>
          </w:rPr>
          <w:fldChar w:fldCharType="begin"/>
        </w:r>
        <w:r w:rsidR="001D2D00">
          <w:rPr>
            <w:noProof/>
            <w:webHidden/>
          </w:rPr>
          <w:instrText xml:space="preserve"> PAGEREF _Toc377030233 \h </w:instrText>
        </w:r>
        <w:r w:rsidR="001D2D00">
          <w:rPr>
            <w:noProof/>
            <w:webHidden/>
          </w:rPr>
        </w:r>
        <w:r w:rsidR="001D2D00">
          <w:rPr>
            <w:noProof/>
            <w:webHidden/>
          </w:rPr>
          <w:fldChar w:fldCharType="separate"/>
        </w:r>
        <w:r w:rsidR="00007102">
          <w:rPr>
            <w:noProof/>
            <w:webHidden/>
          </w:rPr>
          <w:t>25</w:t>
        </w:r>
        <w:r w:rsidR="001D2D00">
          <w:rPr>
            <w:noProof/>
            <w:webHidden/>
          </w:rPr>
          <w:fldChar w:fldCharType="end"/>
        </w:r>
      </w:hyperlink>
    </w:p>
    <w:p w:rsidR="00953B3E" w:rsidRDefault="00953B3E">
      <w:pPr>
        <w:rPr>
          <w:noProof/>
        </w:rPr>
      </w:pPr>
      <w:r>
        <w:rPr>
          <w:noProof/>
        </w:rPr>
        <w:br w:type="page"/>
      </w:r>
    </w:p>
    <w:p w:rsidR="00953B3E" w:rsidRDefault="00953B3E">
      <w:pPr>
        <w:pStyle w:val="TM1"/>
        <w:tabs>
          <w:tab w:val="right" w:leader="dot" w:pos="9062"/>
        </w:tabs>
        <w:rPr>
          <w:noProof/>
        </w:rPr>
      </w:pPr>
    </w:p>
    <w:p w:rsidR="00953B3E" w:rsidRDefault="00953B3E" w:rsidP="00953B3E">
      <w:pPr>
        <w:rPr>
          <w:noProof/>
        </w:rPr>
      </w:pPr>
    </w:p>
    <w:p w:rsidR="00953B3E" w:rsidRDefault="00953B3E" w:rsidP="00953B3E">
      <w:pPr>
        <w:rPr>
          <w:noProof/>
        </w:rPr>
      </w:pPr>
    </w:p>
    <w:p w:rsidR="00953B3E" w:rsidRDefault="00953B3E" w:rsidP="00953B3E">
      <w:pPr>
        <w:pStyle w:val="Sansinterligne"/>
        <w:rPr>
          <w:noProof/>
        </w:rPr>
      </w:pPr>
    </w:p>
    <w:p w:rsidR="00953B3E" w:rsidRPr="00953B3E" w:rsidRDefault="00953B3E" w:rsidP="00953B3E">
      <w:pPr>
        <w:pStyle w:val="Sansinterligne"/>
        <w:rPr>
          <w:noProof/>
        </w:rPr>
      </w:pPr>
    </w:p>
    <w:p w:rsidR="001D2D00" w:rsidRDefault="003E53DE">
      <w:pPr>
        <w:pStyle w:val="TM1"/>
        <w:tabs>
          <w:tab w:val="right" w:leader="dot" w:pos="9062"/>
        </w:tabs>
        <w:rPr>
          <w:noProof/>
          <w:lang w:eastAsia="fr-BE"/>
        </w:rPr>
      </w:pPr>
      <w:hyperlink w:anchor="_Toc377030234" w:history="1">
        <w:r w:rsidR="001D2D00" w:rsidRPr="009F6ABF">
          <w:rPr>
            <w:rStyle w:val="Lienhypertexte"/>
            <w:b/>
            <w:noProof/>
          </w:rPr>
          <w:t>Emploi</w:t>
        </w:r>
        <w:r w:rsidR="001D2D00">
          <w:rPr>
            <w:noProof/>
            <w:webHidden/>
          </w:rPr>
          <w:tab/>
        </w:r>
        <w:r w:rsidR="001D2D00">
          <w:rPr>
            <w:noProof/>
            <w:webHidden/>
          </w:rPr>
          <w:fldChar w:fldCharType="begin"/>
        </w:r>
        <w:r w:rsidR="001D2D00">
          <w:rPr>
            <w:noProof/>
            <w:webHidden/>
          </w:rPr>
          <w:instrText xml:space="preserve"> PAGEREF _Toc377030234 \h </w:instrText>
        </w:r>
        <w:r w:rsidR="001D2D00">
          <w:rPr>
            <w:noProof/>
            <w:webHidden/>
          </w:rPr>
        </w:r>
        <w:r w:rsidR="001D2D00">
          <w:rPr>
            <w:noProof/>
            <w:webHidden/>
          </w:rPr>
          <w:fldChar w:fldCharType="separate"/>
        </w:r>
        <w:r w:rsidR="00007102">
          <w:rPr>
            <w:noProof/>
            <w:webHidden/>
          </w:rPr>
          <w:t>26</w:t>
        </w:r>
        <w:r w:rsidR="001D2D00">
          <w:rPr>
            <w:noProof/>
            <w:webHidden/>
          </w:rPr>
          <w:fldChar w:fldCharType="end"/>
        </w:r>
      </w:hyperlink>
    </w:p>
    <w:p w:rsidR="001D2D00" w:rsidRDefault="003E53DE" w:rsidP="007210AB">
      <w:pPr>
        <w:pStyle w:val="TM2"/>
        <w:rPr>
          <w:noProof/>
          <w:lang w:eastAsia="fr-BE"/>
        </w:rPr>
      </w:pPr>
      <w:hyperlink w:anchor="_Toc377030235" w:history="1">
        <w:r w:rsidR="001D2D00" w:rsidRPr="005965F2">
          <w:rPr>
            <w:rStyle w:val="Lienhypertexte"/>
            <w:noProof/>
          </w:rPr>
          <w:t>Adopter un cadre légal pour l’organisation des actions positives en faveur de certains groupes de travailleurs</w:t>
        </w:r>
        <w:r w:rsidR="001D2D00">
          <w:rPr>
            <w:noProof/>
            <w:webHidden/>
          </w:rPr>
          <w:tab/>
        </w:r>
        <w:r w:rsidR="001D2D00">
          <w:rPr>
            <w:noProof/>
            <w:webHidden/>
          </w:rPr>
          <w:fldChar w:fldCharType="begin"/>
        </w:r>
        <w:r w:rsidR="001D2D00">
          <w:rPr>
            <w:noProof/>
            <w:webHidden/>
          </w:rPr>
          <w:instrText xml:space="preserve"> PAGEREF _Toc377030235 \h </w:instrText>
        </w:r>
        <w:r w:rsidR="001D2D00">
          <w:rPr>
            <w:noProof/>
            <w:webHidden/>
          </w:rPr>
        </w:r>
        <w:r w:rsidR="001D2D00">
          <w:rPr>
            <w:noProof/>
            <w:webHidden/>
          </w:rPr>
          <w:fldChar w:fldCharType="separate"/>
        </w:r>
        <w:r w:rsidR="00007102">
          <w:rPr>
            <w:noProof/>
            <w:webHidden/>
          </w:rPr>
          <w:t>26</w:t>
        </w:r>
        <w:r w:rsidR="001D2D00">
          <w:rPr>
            <w:noProof/>
            <w:webHidden/>
          </w:rPr>
          <w:fldChar w:fldCharType="end"/>
        </w:r>
      </w:hyperlink>
    </w:p>
    <w:p w:rsidR="001D2D00" w:rsidRDefault="003E53DE" w:rsidP="007210AB">
      <w:pPr>
        <w:pStyle w:val="TM2"/>
        <w:rPr>
          <w:noProof/>
          <w:lang w:eastAsia="fr-BE"/>
        </w:rPr>
      </w:pPr>
      <w:hyperlink w:anchor="_Toc377030236" w:history="1">
        <w:r w:rsidR="001D2D00" w:rsidRPr="005965F2">
          <w:rPr>
            <w:rStyle w:val="Lienhypertexte"/>
            <w:noProof/>
          </w:rPr>
          <w:t>Appeler à des Etats généraux concernant l’emploi pour les plus de 45 ans</w:t>
        </w:r>
        <w:r w:rsidR="001D2D00">
          <w:rPr>
            <w:noProof/>
            <w:webHidden/>
          </w:rPr>
          <w:tab/>
        </w:r>
        <w:r w:rsidR="001D2D00">
          <w:rPr>
            <w:noProof/>
            <w:webHidden/>
          </w:rPr>
          <w:fldChar w:fldCharType="begin"/>
        </w:r>
        <w:r w:rsidR="001D2D00">
          <w:rPr>
            <w:noProof/>
            <w:webHidden/>
          </w:rPr>
          <w:instrText xml:space="preserve"> PAGEREF _Toc377030236 \h </w:instrText>
        </w:r>
        <w:r w:rsidR="001D2D00">
          <w:rPr>
            <w:noProof/>
            <w:webHidden/>
          </w:rPr>
        </w:r>
        <w:r w:rsidR="001D2D00">
          <w:rPr>
            <w:noProof/>
            <w:webHidden/>
          </w:rPr>
          <w:fldChar w:fldCharType="separate"/>
        </w:r>
        <w:r w:rsidR="00007102">
          <w:rPr>
            <w:noProof/>
            <w:webHidden/>
          </w:rPr>
          <w:t>26</w:t>
        </w:r>
        <w:r w:rsidR="001D2D00">
          <w:rPr>
            <w:noProof/>
            <w:webHidden/>
          </w:rPr>
          <w:fldChar w:fldCharType="end"/>
        </w:r>
      </w:hyperlink>
    </w:p>
    <w:p w:rsidR="001D2D00" w:rsidRDefault="003E53DE" w:rsidP="007210AB">
      <w:pPr>
        <w:pStyle w:val="TM2"/>
        <w:rPr>
          <w:noProof/>
          <w:lang w:eastAsia="fr-BE"/>
        </w:rPr>
      </w:pPr>
      <w:hyperlink w:anchor="_Toc377030237" w:history="1">
        <w:r w:rsidR="001D2D00" w:rsidRPr="005965F2">
          <w:rPr>
            <w:rStyle w:val="Lienhypertexte"/>
            <w:noProof/>
          </w:rPr>
          <w:t>Ratification de la Convention Internationale des travailleurs migrants et des membres de leur famille.</w:t>
        </w:r>
        <w:r w:rsidR="001D2D00">
          <w:rPr>
            <w:noProof/>
            <w:webHidden/>
          </w:rPr>
          <w:tab/>
        </w:r>
        <w:r w:rsidR="001D2D00">
          <w:rPr>
            <w:noProof/>
            <w:webHidden/>
          </w:rPr>
          <w:fldChar w:fldCharType="begin"/>
        </w:r>
        <w:r w:rsidR="001D2D00">
          <w:rPr>
            <w:noProof/>
            <w:webHidden/>
          </w:rPr>
          <w:instrText xml:space="preserve"> PAGEREF _Toc377030237 \h </w:instrText>
        </w:r>
        <w:r w:rsidR="001D2D00">
          <w:rPr>
            <w:noProof/>
            <w:webHidden/>
          </w:rPr>
        </w:r>
        <w:r w:rsidR="001D2D00">
          <w:rPr>
            <w:noProof/>
            <w:webHidden/>
          </w:rPr>
          <w:fldChar w:fldCharType="separate"/>
        </w:r>
        <w:r w:rsidR="00007102">
          <w:rPr>
            <w:noProof/>
            <w:webHidden/>
          </w:rPr>
          <w:t>27</w:t>
        </w:r>
        <w:r w:rsidR="001D2D00">
          <w:rPr>
            <w:noProof/>
            <w:webHidden/>
          </w:rPr>
          <w:fldChar w:fldCharType="end"/>
        </w:r>
      </w:hyperlink>
    </w:p>
    <w:p w:rsidR="00953B3E" w:rsidRDefault="00953B3E">
      <w:pPr>
        <w:pStyle w:val="TM1"/>
        <w:tabs>
          <w:tab w:val="right" w:leader="dot" w:pos="9062"/>
        </w:tabs>
        <w:rPr>
          <w:noProof/>
        </w:rPr>
      </w:pPr>
    </w:p>
    <w:p w:rsidR="001D2D00" w:rsidRDefault="003E53DE">
      <w:pPr>
        <w:pStyle w:val="TM1"/>
        <w:tabs>
          <w:tab w:val="right" w:leader="dot" w:pos="9062"/>
        </w:tabs>
        <w:rPr>
          <w:noProof/>
          <w:lang w:eastAsia="fr-BE"/>
        </w:rPr>
      </w:pPr>
      <w:hyperlink w:anchor="_Toc377030238" w:history="1">
        <w:r w:rsidR="001D2D00" w:rsidRPr="009F6ABF">
          <w:rPr>
            <w:rStyle w:val="Lienhypertexte"/>
            <w:b/>
            <w:noProof/>
          </w:rPr>
          <w:t>Communautés</w:t>
        </w:r>
        <w:r w:rsidR="001D2D00">
          <w:rPr>
            <w:noProof/>
            <w:webHidden/>
          </w:rPr>
          <w:tab/>
        </w:r>
        <w:r w:rsidR="001D2D00">
          <w:rPr>
            <w:noProof/>
            <w:webHidden/>
          </w:rPr>
          <w:fldChar w:fldCharType="begin"/>
        </w:r>
        <w:r w:rsidR="001D2D00">
          <w:rPr>
            <w:noProof/>
            <w:webHidden/>
          </w:rPr>
          <w:instrText xml:space="preserve"> PAGEREF _Toc377030238 \h </w:instrText>
        </w:r>
        <w:r w:rsidR="001D2D00">
          <w:rPr>
            <w:noProof/>
            <w:webHidden/>
          </w:rPr>
        </w:r>
        <w:r w:rsidR="001D2D00">
          <w:rPr>
            <w:noProof/>
            <w:webHidden/>
          </w:rPr>
          <w:fldChar w:fldCharType="separate"/>
        </w:r>
        <w:r w:rsidR="00007102">
          <w:rPr>
            <w:noProof/>
            <w:webHidden/>
          </w:rPr>
          <w:t>28</w:t>
        </w:r>
        <w:r w:rsidR="001D2D00">
          <w:rPr>
            <w:noProof/>
            <w:webHidden/>
          </w:rPr>
          <w:fldChar w:fldCharType="end"/>
        </w:r>
      </w:hyperlink>
    </w:p>
    <w:p w:rsidR="001D2D00" w:rsidRDefault="003E53DE" w:rsidP="007210AB">
      <w:pPr>
        <w:pStyle w:val="TM2"/>
        <w:rPr>
          <w:noProof/>
          <w:lang w:eastAsia="fr-BE"/>
        </w:rPr>
      </w:pPr>
      <w:hyperlink w:anchor="_Toc377030239" w:history="1">
        <w:r w:rsidR="001D2D00" w:rsidRPr="005965F2">
          <w:rPr>
            <w:rStyle w:val="Lienhypertexte"/>
            <w:noProof/>
          </w:rPr>
          <w:t>Aide aux personnes et soin</w:t>
        </w:r>
        <w:r w:rsidR="007D010D">
          <w:rPr>
            <w:rStyle w:val="Lienhypertexte"/>
            <w:noProof/>
          </w:rPr>
          <w:t>s</w:t>
        </w:r>
        <w:r w:rsidR="001D2D00" w:rsidRPr="005965F2">
          <w:rPr>
            <w:rStyle w:val="Lienhypertexte"/>
            <w:noProof/>
          </w:rPr>
          <w:t xml:space="preserve"> de santé</w:t>
        </w:r>
        <w:r w:rsidR="001D2D00">
          <w:rPr>
            <w:noProof/>
            <w:webHidden/>
          </w:rPr>
          <w:tab/>
        </w:r>
        <w:r w:rsidR="001D2D00">
          <w:rPr>
            <w:noProof/>
            <w:webHidden/>
          </w:rPr>
          <w:fldChar w:fldCharType="begin"/>
        </w:r>
        <w:r w:rsidR="001D2D00">
          <w:rPr>
            <w:noProof/>
            <w:webHidden/>
          </w:rPr>
          <w:instrText xml:space="preserve"> PAGEREF _Toc377030239 \h </w:instrText>
        </w:r>
        <w:r w:rsidR="001D2D00">
          <w:rPr>
            <w:noProof/>
            <w:webHidden/>
          </w:rPr>
        </w:r>
        <w:r w:rsidR="001D2D00">
          <w:rPr>
            <w:noProof/>
            <w:webHidden/>
          </w:rPr>
          <w:fldChar w:fldCharType="separate"/>
        </w:r>
        <w:r w:rsidR="00007102">
          <w:rPr>
            <w:noProof/>
            <w:webHidden/>
          </w:rPr>
          <w:t>28</w:t>
        </w:r>
        <w:r w:rsidR="001D2D00">
          <w:rPr>
            <w:noProof/>
            <w:webHidden/>
          </w:rPr>
          <w:fldChar w:fldCharType="end"/>
        </w:r>
      </w:hyperlink>
    </w:p>
    <w:p w:rsidR="001D2D00" w:rsidRDefault="003E53DE" w:rsidP="007210AB">
      <w:pPr>
        <w:pStyle w:val="TM2"/>
        <w:rPr>
          <w:noProof/>
          <w:lang w:eastAsia="fr-BE"/>
        </w:rPr>
      </w:pPr>
      <w:hyperlink w:anchor="_Toc377030240" w:history="1">
        <w:r w:rsidR="001D2D00" w:rsidRPr="005965F2">
          <w:rPr>
            <w:rStyle w:val="Lienhypertexte"/>
            <w:noProof/>
          </w:rPr>
          <w:t>Enseignement</w:t>
        </w:r>
        <w:r w:rsidR="001D2D00">
          <w:rPr>
            <w:noProof/>
            <w:webHidden/>
          </w:rPr>
          <w:tab/>
        </w:r>
        <w:r w:rsidR="001D2D00">
          <w:rPr>
            <w:noProof/>
            <w:webHidden/>
          </w:rPr>
          <w:fldChar w:fldCharType="begin"/>
        </w:r>
        <w:r w:rsidR="001D2D00">
          <w:rPr>
            <w:noProof/>
            <w:webHidden/>
          </w:rPr>
          <w:instrText xml:space="preserve"> PAGEREF _Toc377030240 \h </w:instrText>
        </w:r>
        <w:r w:rsidR="001D2D00">
          <w:rPr>
            <w:noProof/>
            <w:webHidden/>
          </w:rPr>
        </w:r>
        <w:r w:rsidR="001D2D00">
          <w:rPr>
            <w:noProof/>
            <w:webHidden/>
          </w:rPr>
          <w:fldChar w:fldCharType="separate"/>
        </w:r>
        <w:r w:rsidR="00007102">
          <w:rPr>
            <w:noProof/>
            <w:webHidden/>
          </w:rPr>
          <w:t>30</w:t>
        </w:r>
        <w:r w:rsidR="001D2D00">
          <w:rPr>
            <w:noProof/>
            <w:webHidden/>
          </w:rPr>
          <w:fldChar w:fldCharType="end"/>
        </w:r>
      </w:hyperlink>
    </w:p>
    <w:p w:rsidR="001D2D00" w:rsidRDefault="001D2D00" w:rsidP="007210AB">
      <w:pPr>
        <w:pStyle w:val="TM3"/>
        <w:rPr>
          <w:noProof/>
          <w:lang w:eastAsia="fr-BE"/>
        </w:rPr>
      </w:pPr>
    </w:p>
    <w:p w:rsidR="001D2D00" w:rsidRDefault="003E53DE">
      <w:pPr>
        <w:pStyle w:val="TM1"/>
        <w:tabs>
          <w:tab w:val="right" w:leader="dot" w:pos="9062"/>
        </w:tabs>
        <w:rPr>
          <w:noProof/>
          <w:lang w:eastAsia="fr-BE"/>
        </w:rPr>
      </w:pPr>
      <w:hyperlink w:anchor="_Toc377030246" w:history="1">
        <w:r w:rsidR="001D2D00" w:rsidRPr="009F6ABF">
          <w:rPr>
            <w:rStyle w:val="Lienhypertexte"/>
            <w:b/>
            <w:noProof/>
          </w:rPr>
          <w:t>Régions</w:t>
        </w:r>
        <w:r w:rsidR="001D2D00">
          <w:rPr>
            <w:noProof/>
            <w:webHidden/>
          </w:rPr>
          <w:tab/>
        </w:r>
        <w:r w:rsidR="001D2D00">
          <w:rPr>
            <w:noProof/>
            <w:webHidden/>
          </w:rPr>
          <w:fldChar w:fldCharType="begin"/>
        </w:r>
        <w:r w:rsidR="001D2D00">
          <w:rPr>
            <w:noProof/>
            <w:webHidden/>
          </w:rPr>
          <w:instrText xml:space="preserve"> PAGEREF _Toc377030246 \h </w:instrText>
        </w:r>
        <w:r w:rsidR="001D2D00">
          <w:rPr>
            <w:noProof/>
            <w:webHidden/>
          </w:rPr>
        </w:r>
        <w:r w:rsidR="001D2D00">
          <w:rPr>
            <w:noProof/>
            <w:webHidden/>
          </w:rPr>
          <w:fldChar w:fldCharType="separate"/>
        </w:r>
        <w:r w:rsidR="00007102">
          <w:rPr>
            <w:noProof/>
            <w:webHidden/>
          </w:rPr>
          <w:t>34</w:t>
        </w:r>
        <w:r w:rsidR="001D2D00">
          <w:rPr>
            <w:noProof/>
            <w:webHidden/>
          </w:rPr>
          <w:fldChar w:fldCharType="end"/>
        </w:r>
      </w:hyperlink>
    </w:p>
    <w:p w:rsidR="001D2D00" w:rsidRDefault="003E53DE" w:rsidP="007210AB">
      <w:pPr>
        <w:pStyle w:val="TM2"/>
        <w:rPr>
          <w:noProof/>
          <w:lang w:eastAsia="fr-BE"/>
        </w:rPr>
      </w:pPr>
      <w:hyperlink w:anchor="_Toc377030247" w:history="1">
        <w:r w:rsidR="001D2D00" w:rsidRPr="005965F2">
          <w:rPr>
            <w:rStyle w:val="Lienhypertexte"/>
            <w:noProof/>
          </w:rPr>
          <w:t>Logement</w:t>
        </w:r>
        <w:r w:rsidR="001D2D00">
          <w:rPr>
            <w:noProof/>
            <w:webHidden/>
          </w:rPr>
          <w:tab/>
        </w:r>
        <w:r w:rsidR="001D2D00">
          <w:rPr>
            <w:noProof/>
            <w:webHidden/>
          </w:rPr>
          <w:fldChar w:fldCharType="begin"/>
        </w:r>
        <w:r w:rsidR="001D2D00">
          <w:rPr>
            <w:noProof/>
            <w:webHidden/>
          </w:rPr>
          <w:instrText xml:space="preserve"> PAGEREF _Toc377030247 \h </w:instrText>
        </w:r>
        <w:r w:rsidR="001D2D00">
          <w:rPr>
            <w:noProof/>
            <w:webHidden/>
          </w:rPr>
        </w:r>
        <w:r w:rsidR="001D2D00">
          <w:rPr>
            <w:noProof/>
            <w:webHidden/>
          </w:rPr>
          <w:fldChar w:fldCharType="separate"/>
        </w:r>
        <w:r w:rsidR="00007102">
          <w:rPr>
            <w:noProof/>
            <w:webHidden/>
          </w:rPr>
          <w:t>34</w:t>
        </w:r>
        <w:r w:rsidR="001D2D00">
          <w:rPr>
            <w:noProof/>
            <w:webHidden/>
          </w:rPr>
          <w:fldChar w:fldCharType="end"/>
        </w:r>
      </w:hyperlink>
    </w:p>
    <w:p w:rsidR="001D2D00" w:rsidRDefault="003E53DE" w:rsidP="007210AB">
      <w:pPr>
        <w:pStyle w:val="TM2"/>
        <w:rPr>
          <w:noProof/>
          <w:lang w:eastAsia="fr-BE"/>
        </w:rPr>
      </w:pPr>
      <w:hyperlink w:anchor="_Toc377030251" w:history="1">
        <w:r w:rsidR="001D2D00" w:rsidRPr="005965F2">
          <w:rPr>
            <w:rStyle w:val="Lienhypertexte"/>
            <w:noProof/>
          </w:rPr>
          <w:t>Pour la Région wallonne : pérenniser et donner un cadre au Consortium Diversité-Emploi</w:t>
        </w:r>
        <w:r w:rsidR="001D2D00">
          <w:rPr>
            <w:noProof/>
            <w:webHidden/>
          </w:rPr>
          <w:tab/>
        </w:r>
        <w:r w:rsidR="001D2D00">
          <w:rPr>
            <w:noProof/>
            <w:webHidden/>
          </w:rPr>
          <w:fldChar w:fldCharType="begin"/>
        </w:r>
        <w:r w:rsidR="001D2D00">
          <w:rPr>
            <w:noProof/>
            <w:webHidden/>
          </w:rPr>
          <w:instrText xml:space="preserve"> PAGEREF _Toc377030251 \h </w:instrText>
        </w:r>
        <w:r w:rsidR="001D2D00">
          <w:rPr>
            <w:noProof/>
            <w:webHidden/>
          </w:rPr>
        </w:r>
        <w:r w:rsidR="001D2D00">
          <w:rPr>
            <w:noProof/>
            <w:webHidden/>
          </w:rPr>
          <w:fldChar w:fldCharType="separate"/>
        </w:r>
        <w:r w:rsidR="00007102">
          <w:rPr>
            <w:noProof/>
            <w:webHidden/>
          </w:rPr>
          <w:t>36</w:t>
        </w:r>
        <w:r w:rsidR="001D2D00">
          <w:rPr>
            <w:noProof/>
            <w:webHidden/>
          </w:rPr>
          <w:fldChar w:fldCharType="end"/>
        </w:r>
      </w:hyperlink>
    </w:p>
    <w:p w:rsidR="001D2D00" w:rsidRDefault="003E53DE" w:rsidP="007210AB">
      <w:pPr>
        <w:pStyle w:val="TM2"/>
        <w:rPr>
          <w:noProof/>
          <w:lang w:eastAsia="fr-BE"/>
        </w:rPr>
      </w:pPr>
      <w:hyperlink w:anchor="_Toc377030252" w:history="1">
        <w:r w:rsidR="001D2D00" w:rsidRPr="005965F2">
          <w:rPr>
            <w:rStyle w:val="Lienhypertexte"/>
            <w:noProof/>
          </w:rPr>
          <w:t>Politiques d’intégration</w:t>
        </w:r>
        <w:r w:rsidR="001D2D00">
          <w:rPr>
            <w:noProof/>
            <w:webHidden/>
          </w:rPr>
          <w:tab/>
        </w:r>
        <w:r w:rsidR="001D2D00">
          <w:rPr>
            <w:noProof/>
            <w:webHidden/>
          </w:rPr>
          <w:fldChar w:fldCharType="begin"/>
        </w:r>
        <w:r w:rsidR="001D2D00">
          <w:rPr>
            <w:noProof/>
            <w:webHidden/>
          </w:rPr>
          <w:instrText xml:space="preserve"> PAGEREF _Toc377030252 \h </w:instrText>
        </w:r>
        <w:r w:rsidR="001D2D00">
          <w:rPr>
            <w:noProof/>
            <w:webHidden/>
          </w:rPr>
        </w:r>
        <w:r w:rsidR="001D2D00">
          <w:rPr>
            <w:noProof/>
            <w:webHidden/>
          </w:rPr>
          <w:fldChar w:fldCharType="separate"/>
        </w:r>
        <w:r w:rsidR="00007102">
          <w:rPr>
            <w:noProof/>
            <w:webHidden/>
          </w:rPr>
          <w:t>36</w:t>
        </w:r>
        <w:r w:rsidR="001D2D00">
          <w:rPr>
            <w:noProof/>
            <w:webHidden/>
          </w:rPr>
          <w:fldChar w:fldCharType="end"/>
        </w:r>
      </w:hyperlink>
    </w:p>
    <w:p w:rsidR="00953B3E" w:rsidRDefault="00953B3E">
      <w:pPr>
        <w:pStyle w:val="TM1"/>
        <w:tabs>
          <w:tab w:val="right" w:leader="dot" w:pos="9062"/>
        </w:tabs>
        <w:rPr>
          <w:noProof/>
        </w:rPr>
      </w:pPr>
    </w:p>
    <w:p w:rsidR="001D2D00" w:rsidRDefault="003E53DE">
      <w:pPr>
        <w:pStyle w:val="TM1"/>
        <w:tabs>
          <w:tab w:val="right" w:leader="dot" w:pos="9062"/>
        </w:tabs>
        <w:rPr>
          <w:noProof/>
          <w:lang w:eastAsia="fr-BE"/>
        </w:rPr>
      </w:pPr>
      <w:hyperlink w:anchor="_Toc377030253" w:history="1">
        <w:r w:rsidR="001D2D00" w:rsidRPr="009F6ABF">
          <w:rPr>
            <w:rStyle w:val="Lienhypertexte"/>
            <w:b/>
            <w:noProof/>
          </w:rPr>
          <w:t>Politiques locales</w:t>
        </w:r>
        <w:r w:rsidR="001D2D00">
          <w:rPr>
            <w:noProof/>
            <w:webHidden/>
          </w:rPr>
          <w:tab/>
        </w:r>
        <w:r w:rsidR="001D2D00">
          <w:rPr>
            <w:noProof/>
            <w:webHidden/>
          </w:rPr>
          <w:fldChar w:fldCharType="begin"/>
        </w:r>
        <w:r w:rsidR="001D2D00">
          <w:rPr>
            <w:noProof/>
            <w:webHidden/>
          </w:rPr>
          <w:instrText xml:space="preserve"> PAGEREF _Toc377030253 \h </w:instrText>
        </w:r>
        <w:r w:rsidR="001D2D00">
          <w:rPr>
            <w:noProof/>
            <w:webHidden/>
          </w:rPr>
        </w:r>
        <w:r w:rsidR="001D2D00">
          <w:rPr>
            <w:noProof/>
            <w:webHidden/>
          </w:rPr>
          <w:fldChar w:fldCharType="separate"/>
        </w:r>
        <w:r w:rsidR="00007102">
          <w:rPr>
            <w:noProof/>
            <w:webHidden/>
          </w:rPr>
          <w:t>37</w:t>
        </w:r>
        <w:r w:rsidR="001D2D00">
          <w:rPr>
            <w:noProof/>
            <w:webHidden/>
          </w:rPr>
          <w:fldChar w:fldCharType="end"/>
        </w:r>
      </w:hyperlink>
    </w:p>
    <w:p w:rsidR="001D2D00" w:rsidRDefault="003E53DE" w:rsidP="007210AB">
      <w:pPr>
        <w:pStyle w:val="TM2"/>
        <w:rPr>
          <w:noProof/>
          <w:lang w:eastAsia="fr-BE"/>
        </w:rPr>
      </w:pPr>
      <w:hyperlink w:anchor="_Toc377030254" w:history="1">
        <w:r w:rsidR="001D2D00" w:rsidRPr="005965F2">
          <w:rPr>
            <w:rStyle w:val="Lienhypertexte"/>
            <w:noProof/>
          </w:rPr>
          <w:t>Impliquer structurellement les pouvoirs locaux dans un processus de formation à la lutte contre les discriminations</w:t>
        </w:r>
        <w:r w:rsidR="001D2D00">
          <w:rPr>
            <w:noProof/>
            <w:webHidden/>
          </w:rPr>
          <w:tab/>
        </w:r>
        <w:r w:rsidR="001D2D00">
          <w:rPr>
            <w:noProof/>
            <w:webHidden/>
          </w:rPr>
          <w:fldChar w:fldCharType="begin"/>
        </w:r>
        <w:r w:rsidR="001D2D00">
          <w:rPr>
            <w:noProof/>
            <w:webHidden/>
          </w:rPr>
          <w:instrText xml:space="preserve"> PAGEREF _Toc377030254 \h </w:instrText>
        </w:r>
        <w:r w:rsidR="001D2D00">
          <w:rPr>
            <w:noProof/>
            <w:webHidden/>
          </w:rPr>
        </w:r>
        <w:r w:rsidR="001D2D00">
          <w:rPr>
            <w:noProof/>
            <w:webHidden/>
          </w:rPr>
          <w:fldChar w:fldCharType="separate"/>
        </w:r>
        <w:r w:rsidR="00007102">
          <w:rPr>
            <w:noProof/>
            <w:webHidden/>
          </w:rPr>
          <w:t>37</w:t>
        </w:r>
        <w:r w:rsidR="001D2D00">
          <w:rPr>
            <w:noProof/>
            <w:webHidden/>
          </w:rPr>
          <w:fldChar w:fldCharType="end"/>
        </w:r>
      </w:hyperlink>
    </w:p>
    <w:p w:rsidR="00926150" w:rsidRPr="007751C2" w:rsidRDefault="00554876" w:rsidP="00AA21B5">
      <w:pPr>
        <w:spacing w:after="0" w:line="240" w:lineRule="auto"/>
        <w:jc w:val="both"/>
        <w:rPr>
          <w:b/>
          <w:sz w:val="32"/>
          <w:szCs w:val="32"/>
          <w:lang w:val="fr-FR"/>
        </w:rPr>
      </w:pPr>
      <w:r w:rsidRPr="007751C2">
        <w:rPr>
          <w:b/>
          <w:sz w:val="32"/>
          <w:szCs w:val="32"/>
          <w:lang w:val="fr-FR"/>
        </w:rPr>
        <w:fldChar w:fldCharType="end"/>
      </w:r>
    </w:p>
    <w:p w:rsidR="001D2D00" w:rsidRDefault="001D2D00">
      <w:pPr>
        <w:rPr>
          <w:rFonts w:asciiTheme="majorHAnsi" w:eastAsiaTheme="majorEastAsia" w:hAnsiTheme="majorHAnsi" w:cstheme="majorBidi"/>
          <w:b/>
          <w:bCs/>
          <w:color w:val="365F91" w:themeColor="accent1" w:themeShade="BF"/>
          <w:sz w:val="28"/>
          <w:szCs w:val="28"/>
        </w:rPr>
      </w:pPr>
      <w:bookmarkStart w:id="1" w:name="_Toc377028519"/>
      <w:bookmarkStart w:id="2" w:name="_Toc377030199"/>
      <w:r>
        <w:br w:type="page"/>
      </w:r>
    </w:p>
    <w:p w:rsidR="007751C2" w:rsidRPr="00AA21B5" w:rsidRDefault="007751C2" w:rsidP="001D0D5A">
      <w:pPr>
        <w:pStyle w:val="Titre1"/>
        <w:ind w:left="0"/>
      </w:pPr>
      <w:r w:rsidRPr="00AA21B5">
        <w:lastRenderedPageBreak/>
        <w:t>Europe</w:t>
      </w:r>
      <w:bookmarkEnd w:id="1"/>
      <w:bookmarkEnd w:id="2"/>
      <w:r w:rsidRPr="00AA21B5">
        <w:t xml:space="preserve"> </w:t>
      </w:r>
    </w:p>
    <w:p w:rsidR="00926150" w:rsidRPr="00AA21B5" w:rsidRDefault="00926150" w:rsidP="00AA21B5">
      <w:pPr>
        <w:spacing w:after="0" w:line="240" w:lineRule="auto"/>
        <w:jc w:val="both"/>
        <w:rPr>
          <w:rFonts w:cstheme="minorHAnsi"/>
          <w:lang w:val="fr-FR"/>
        </w:rPr>
      </w:pPr>
    </w:p>
    <w:p w:rsidR="007751C2" w:rsidRPr="00AA21B5" w:rsidRDefault="007751C2" w:rsidP="00953B3E">
      <w:pPr>
        <w:pStyle w:val="Titre2"/>
        <w:ind w:left="0"/>
      </w:pPr>
      <w:bookmarkStart w:id="3" w:name="_Toc377028520"/>
      <w:bookmarkStart w:id="4" w:name="_Toc377030200"/>
      <w:r w:rsidRPr="00AA21B5">
        <w:t>Directive biens et services</w:t>
      </w:r>
      <w:bookmarkEnd w:id="3"/>
      <w:bookmarkEnd w:id="4"/>
    </w:p>
    <w:p w:rsidR="00B00354" w:rsidRPr="00AA21B5" w:rsidRDefault="00B00354" w:rsidP="00AA21B5">
      <w:pPr>
        <w:spacing w:after="0" w:line="240" w:lineRule="auto"/>
        <w:jc w:val="both"/>
        <w:rPr>
          <w:rFonts w:cstheme="minorHAnsi"/>
          <w:lang w:val="fr-FR"/>
        </w:rPr>
      </w:pPr>
    </w:p>
    <w:p w:rsidR="004F592C" w:rsidRPr="00AA21B5" w:rsidRDefault="004F592C" w:rsidP="00A608DB">
      <w:pPr>
        <w:spacing w:after="0"/>
        <w:jc w:val="both"/>
        <w:rPr>
          <w:lang w:val="fr-FR"/>
        </w:rPr>
      </w:pPr>
      <w:r w:rsidRPr="00AA21B5">
        <w:rPr>
          <w:lang w:val="fr-FR"/>
        </w:rPr>
        <w:t>Le 2 juillet 2008, la Commission européenne adoptait une proposition de directive relative à la mise en œuvre du principe de l’égalité de traitement entre les personnes sans distinction de religion ou de convictions, de handicap, d’âge ou d’orientation sexuelle. Ce projet a pour objectif de compléter le cadre juridique communautaire existant qui ne prohibe la discrimination fondée sur ces quatre critères protégés qu’en ce qui concerne l’emploi. La nouvelle directive prévoit un champ d’application élargi et inclut la protection sociale, y compris la sécurité sociale et les soins de santé, l’éducation et l’accès aux biens et services et la fourniture de biens et services à la disposition du public, y compris en matière de logement.</w:t>
      </w:r>
    </w:p>
    <w:p w:rsidR="00FB22A0" w:rsidRPr="00AA21B5" w:rsidRDefault="00FB22A0" w:rsidP="00A608DB">
      <w:pPr>
        <w:pStyle w:val="Paragraphedeliste"/>
        <w:spacing w:after="0" w:line="240" w:lineRule="auto"/>
        <w:ind w:left="2127"/>
        <w:contextualSpacing w:val="0"/>
        <w:jc w:val="both"/>
        <w:rPr>
          <w:rFonts w:cstheme="minorHAnsi"/>
          <w:lang w:val="fr-FR"/>
        </w:rPr>
      </w:pPr>
    </w:p>
    <w:p w:rsidR="001D0D5A" w:rsidRDefault="004F592C" w:rsidP="008816D0">
      <w:pPr>
        <w:spacing w:after="120"/>
        <w:jc w:val="both"/>
        <w:rPr>
          <w:rFonts w:cstheme="minorHAnsi"/>
          <w:lang w:val="fr-FR"/>
        </w:rPr>
      </w:pPr>
      <w:r w:rsidRPr="007D010D">
        <w:t>Depuis 2008, les Etats membres ne parviennent pas à se mettre d’accord sur un</w:t>
      </w:r>
      <w:r w:rsidRPr="00AA21B5">
        <w:rPr>
          <w:lang w:val="fr-FR"/>
        </w:rPr>
        <w:t xml:space="preserve"> texte notamment parce que certaines dispositions du projet de directive auront des implications financières. Pour le moment, les deux aspects qui sont discutés lors des réunions au sein du Conseil et qui posent question aux Etats-membres sont les domaines de l’éducation et de la sécurité sociale (surtout en lien avec l’âge et le handicap). </w:t>
      </w:r>
      <w:r w:rsidR="00447593" w:rsidRPr="00AA21B5">
        <w:rPr>
          <w:lang w:val="fr-FR"/>
        </w:rPr>
        <w:t>Le</w:t>
      </w:r>
      <w:r w:rsidRPr="00AA21B5">
        <w:rPr>
          <w:lang w:val="fr-FR"/>
        </w:rPr>
        <w:t xml:space="preserve"> Centre tient à mettre en avant le fait que le législateur belge n’a pas attendu l’adoption de cette directive pour adopter les</w:t>
      </w:r>
      <w:r w:rsidR="00427664">
        <w:rPr>
          <w:lang w:val="fr-FR"/>
        </w:rPr>
        <w:t xml:space="preserve"> législations</w:t>
      </w:r>
      <w:r w:rsidRPr="00AA21B5">
        <w:rPr>
          <w:lang w:val="fr-FR"/>
        </w:rPr>
        <w:t xml:space="preserve"> antidiscrimination et ce dans tous les domaines (enseignement et sécurité sociale y compris) de sorte que l’adoption de cette directive ne va pas modifi</w:t>
      </w:r>
      <w:r w:rsidR="00FB22A0" w:rsidRPr="00AA21B5">
        <w:rPr>
          <w:lang w:val="fr-FR"/>
        </w:rPr>
        <w:t>er le paysage législatif belge.</w:t>
      </w:r>
      <w:r w:rsidR="008C5DC3" w:rsidRPr="00AA21B5">
        <w:rPr>
          <w:lang w:val="fr-FR"/>
        </w:rPr>
        <w:t xml:space="preserve"> Cependant, l’existence d’une directive européenne aurait l’avantage de pouvoir saisir la Cour de Justice de l’Union </w:t>
      </w:r>
      <w:r w:rsidR="003E0AEA" w:rsidRPr="00AA21B5">
        <w:rPr>
          <w:lang w:val="fr-FR"/>
        </w:rPr>
        <w:t>européenne</w:t>
      </w:r>
      <w:r w:rsidR="008C5DC3" w:rsidRPr="00AA21B5">
        <w:rPr>
          <w:lang w:val="fr-FR"/>
        </w:rPr>
        <w:t>, ce qui n’est pas possible pour le moment.</w:t>
      </w:r>
    </w:p>
    <w:p w:rsidR="001D0D5A" w:rsidRPr="001D0D5A" w:rsidRDefault="001D0D5A" w:rsidP="001D0D5A">
      <w:pPr>
        <w:pStyle w:val="Paragraphedeliste"/>
        <w:spacing w:after="0" w:line="240" w:lineRule="auto"/>
        <w:ind w:left="2127"/>
        <w:contextualSpacing w:val="0"/>
        <w:jc w:val="both"/>
        <w:rPr>
          <w:rFonts w:cstheme="minorHAnsi"/>
          <w:lang w:val="fr-FR"/>
        </w:rPr>
      </w:pPr>
    </w:p>
    <w:p w:rsidR="00AA21B5" w:rsidRPr="007D010D" w:rsidRDefault="004F592C" w:rsidP="00051B18">
      <w:pPr>
        <w:pStyle w:val="Citationintense"/>
        <w:rPr>
          <w:rStyle w:val="Accentuation"/>
        </w:rPr>
      </w:pPr>
      <w:r w:rsidRPr="007D010D">
        <w:rPr>
          <w:rStyle w:val="Accentuation"/>
        </w:rPr>
        <w:t xml:space="preserve">Le Centre </w:t>
      </w:r>
      <w:r w:rsidR="00AF20FB" w:rsidRPr="007D010D">
        <w:rPr>
          <w:rStyle w:val="Accentuation"/>
        </w:rPr>
        <w:t xml:space="preserve">recommande que la Belgique soutienne </w:t>
      </w:r>
      <w:r w:rsidRPr="007D010D">
        <w:rPr>
          <w:rStyle w:val="Accentuation"/>
        </w:rPr>
        <w:t>ce projet de directive et en fasse une priorité</w:t>
      </w:r>
      <w:r w:rsidR="006A1F8F" w:rsidRPr="007D010D">
        <w:rPr>
          <w:rStyle w:val="Accentuation"/>
        </w:rPr>
        <w:t xml:space="preserve"> en vue d’</w:t>
      </w:r>
      <w:r w:rsidRPr="007D010D">
        <w:rPr>
          <w:rStyle w:val="Accentuation"/>
        </w:rPr>
        <w:t>une meilleure harmonisation des outils antidiscrimination au niveau européen.</w:t>
      </w:r>
    </w:p>
    <w:p w:rsidR="00F95312" w:rsidRPr="00AA21B5" w:rsidRDefault="00F95312" w:rsidP="00AA21B5">
      <w:pPr>
        <w:spacing w:after="0" w:line="240" w:lineRule="auto"/>
        <w:jc w:val="both"/>
        <w:rPr>
          <w:rFonts w:cstheme="minorHAnsi"/>
          <w:lang w:val="fr-FR"/>
        </w:rPr>
      </w:pPr>
    </w:p>
    <w:p w:rsidR="000E2D4D" w:rsidRPr="00AA21B5" w:rsidRDefault="000E2D4D" w:rsidP="00953B3E">
      <w:pPr>
        <w:pStyle w:val="Titre2"/>
        <w:ind w:left="0"/>
      </w:pPr>
      <w:bookmarkStart w:id="5" w:name="_Toc377028521"/>
      <w:bookmarkStart w:id="6" w:name="_Toc377030201"/>
      <w:r w:rsidRPr="00AA21B5">
        <w:t>Reconnaissance d’</w:t>
      </w:r>
      <w:r w:rsidR="00427664">
        <w:t>organes de l’égalité et d’institutions nationales des droits de l’homme</w:t>
      </w:r>
      <w:bookmarkEnd w:id="5"/>
      <w:bookmarkEnd w:id="6"/>
    </w:p>
    <w:p w:rsidR="006A1F8F" w:rsidRPr="00AA21B5" w:rsidRDefault="006A1F8F" w:rsidP="00AA21B5">
      <w:pPr>
        <w:spacing w:after="0" w:line="240" w:lineRule="auto"/>
        <w:jc w:val="both"/>
        <w:rPr>
          <w:rFonts w:cstheme="minorHAnsi"/>
          <w:bCs/>
          <w:lang w:val="fr-FR"/>
        </w:rPr>
      </w:pPr>
    </w:p>
    <w:p w:rsidR="00CB612F" w:rsidRPr="00AA21B5" w:rsidRDefault="00CB612F" w:rsidP="007D010D">
      <w:pPr>
        <w:jc w:val="both"/>
        <w:rPr>
          <w:lang w:val="fr-FR"/>
        </w:rPr>
      </w:pPr>
      <w:r w:rsidRPr="00AA21B5">
        <w:rPr>
          <w:lang w:val="fr-FR"/>
        </w:rPr>
        <w:t xml:space="preserve">La directive race et les directives genre imposent aux États membres de désigner un ou des organismes pour la promotion de l’égalité de traitement </w:t>
      </w:r>
      <w:r w:rsidR="00427664" w:rsidRPr="00AA21B5">
        <w:rPr>
          <w:lang w:val="fr-FR"/>
        </w:rPr>
        <w:t>(</w:t>
      </w:r>
      <w:proofErr w:type="spellStart"/>
      <w:r w:rsidR="00427664" w:rsidRPr="00AA21B5">
        <w:rPr>
          <w:i/>
          <w:lang w:val="fr-FR"/>
        </w:rPr>
        <w:t>equality</w:t>
      </w:r>
      <w:proofErr w:type="spellEnd"/>
      <w:r w:rsidR="00427664" w:rsidRPr="00AA21B5">
        <w:rPr>
          <w:i/>
          <w:lang w:val="fr-FR"/>
        </w:rPr>
        <w:t xml:space="preserve"> bodies</w:t>
      </w:r>
      <w:r w:rsidR="00427664" w:rsidRPr="00AA21B5">
        <w:rPr>
          <w:lang w:val="fr-FR"/>
        </w:rPr>
        <w:t xml:space="preserve">) </w:t>
      </w:r>
      <w:r w:rsidRPr="00AA21B5">
        <w:rPr>
          <w:lang w:val="fr-FR"/>
        </w:rPr>
        <w:t>de toutes les personnes, et qui sont notamment compétent</w:t>
      </w:r>
      <w:r w:rsidR="00427664">
        <w:rPr>
          <w:lang w:val="fr-FR"/>
        </w:rPr>
        <w:t>s</w:t>
      </w:r>
      <w:r w:rsidRPr="00AA21B5">
        <w:rPr>
          <w:lang w:val="fr-FR"/>
        </w:rPr>
        <w:t xml:space="preserve"> pour accorder une assistance indépendante aux victimes de discrimination dans le règlement de leurs plaintes relatives à la discrimination</w:t>
      </w:r>
      <w:r w:rsidR="005056F3" w:rsidRPr="00AA21B5">
        <w:rPr>
          <w:lang w:val="fr-FR"/>
        </w:rPr>
        <w:t xml:space="preserve">, </w:t>
      </w:r>
      <w:r w:rsidRPr="00AA21B5">
        <w:rPr>
          <w:lang w:val="fr-FR"/>
        </w:rPr>
        <w:t>pour effectuer des enquêtes indépendantes sur la discrimination et pour publier des rapports indépendants et faire des recommandations sur chaque thème lié à une telle discrimination.</w:t>
      </w:r>
    </w:p>
    <w:p w:rsidR="00AA21B5" w:rsidRDefault="00DE4FDF" w:rsidP="007D010D">
      <w:pPr>
        <w:jc w:val="both"/>
        <w:rPr>
          <w:lang w:val="fr-FR"/>
        </w:rPr>
      </w:pPr>
      <w:r w:rsidRPr="00AA21B5">
        <w:rPr>
          <w:lang w:val="fr-FR"/>
        </w:rPr>
        <w:lastRenderedPageBreak/>
        <w:t>Ces exigences sont trop limitées pour garantir que ces organismes soient effectivement indépendants et disposent des compétences et des moyens nécessaires pour mener leurs missions adéquatement.</w:t>
      </w:r>
    </w:p>
    <w:p w:rsidR="007D010D" w:rsidRDefault="007D010D" w:rsidP="00A608DB">
      <w:pPr>
        <w:spacing w:after="0"/>
        <w:jc w:val="both"/>
        <w:rPr>
          <w:lang w:val="fr-FR"/>
        </w:rPr>
      </w:pPr>
    </w:p>
    <w:p w:rsidR="001F2956" w:rsidRPr="001F2956" w:rsidRDefault="00AF20FB" w:rsidP="00051B18">
      <w:pPr>
        <w:pStyle w:val="Citationintense"/>
        <w:rPr>
          <w:rStyle w:val="Accentuation"/>
        </w:rPr>
      </w:pPr>
      <w:r w:rsidRPr="001F2956">
        <w:rPr>
          <w:rStyle w:val="Accentuation"/>
        </w:rPr>
        <w:t>Le Centre recommande de prendre des mesures permettant de mieux garantir l’indépendance des organismes de promotion de l’égalité et leur fonctionnement effectif :</w:t>
      </w:r>
    </w:p>
    <w:p w:rsidR="00AA1458" w:rsidRPr="001F2956" w:rsidRDefault="00FE7B30" w:rsidP="00051B18">
      <w:pPr>
        <w:pStyle w:val="Citationintense"/>
        <w:rPr>
          <w:rStyle w:val="Accentuation"/>
        </w:rPr>
      </w:pPr>
      <w:r>
        <w:rPr>
          <w:rStyle w:val="Accentuation"/>
        </w:rPr>
        <w:t xml:space="preserve">- </w:t>
      </w:r>
      <w:r w:rsidR="00AA1458" w:rsidRPr="001F2956">
        <w:rPr>
          <w:rStyle w:val="Accentuation"/>
        </w:rPr>
        <w:t>La Commission européenne peut imposer aux États membres des normes pour ces organismes, afin qu’ils puissent apporter pleinement leur contribution à la promotion de l’égalité des chances et à la lutte contre les discriminations.</w:t>
      </w:r>
    </w:p>
    <w:p w:rsidR="00C84C21" w:rsidRPr="001F2956" w:rsidRDefault="00FE7B30" w:rsidP="00051B18">
      <w:pPr>
        <w:pStyle w:val="Citationintense"/>
        <w:rPr>
          <w:rStyle w:val="Accentuation"/>
        </w:rPr>
      </w:pPr>
      <w:r>
        <w:rPr>
          <w:rStyle w:val="Accentuation"/>
        </w:rPr>
        <w:t xml:space="preserve">- </w:t>
      </w:r>
      <w:r w:rsidR="00AA1458" w:rsidRPr="001F2956">
        <w:rPr>
          <w:rStyle w:val="Accentuation"/>
        </w:rPr>
        <w:t>La Commission européenne peut également consolider l’efficacité de ces organismes à travers un renforcement de la reconnaissance et une pérennisation du financement d’EQUINET, réseau européen qui regroupe actuellement 41 de ces organismes.</w:t>
      </w:r>
    </w:p>
    <w:p w:rsidR="00F95312" w:rsidRDefault="00F95312" w:rsidP="00AA21B5">
      <w:pPr>
        <w:spacing w:after="0" w:line="240" w:lineRule="auto"/>
        <w:jc w:val="both"/>
        <w:rPr>
          <w:rFonts w:cstheme="minorHAnsi"/>
          <w:color w:val="000000"/>
          <w:lang w:val="fr-FR"/>
        </w:rPr>
      </w:pPr>
    </w:p>
    <w:p w:rsidR="00DA3AC4" w:rsidRDefault="00DA3AC4" w:rsidP="0020031D">
      <w:pPr>
        <w:jc w:val="both"/>
        <w:rPr>
          <w:lang w:val="fr-FR"/>
        </w:rPr>
      </w:pPr>
      <w:r w:rsidRPr="00AA21B5">
        <w:rPr>
          <w:lang w:val="fr-FR"/>
        </w:rPr>
        <w:t>Outre le programme en faveur de l’égalité des chances, la Commission européenne peut également favoriser le programme en faveur des droits de l’</w:t>
      </w:r>
      <w:r w:rsidR="008C5DC3" w:rsidRPr="00AA21B5">
        <w:rPr>
          <w:lang w:val="fr-FR"/>
        </w:rPr>
        <w:t>H</w:t>
      </w:r>
      <w:r w:rsidRPr="00AA21B5">
        <w:rPr>
          <w:lang w:val="fr-FR"/>
        </w:rPr>
        <w:t>omme en stimulant la création d’Institutions nationales pour la promotion et la protection des droits de l’</w:t>
      </w:r>
      <w:r w:rsidR="008C5DC3" w:rsidRPr="00AA21B5">
        <w:rPr>
          <w:lang w:val="fr-FR"/>
        </w:rPr>
        <w:t>H</w:t>
      </w:r>
      <w:r w:rsidRPr="00AA21B5">
        <w:rPr>
          <w:lang w:val="fr-FR"/>
        </w:rPr>
        <w:t>omme (</w:t>
      </w:r>
      <w:r w:rsidRPr="00AA21B5">
        <w:rPr>
          <w:i/>
          <w:lang w:val="fr-FR"/>
        </w:rPr>
        <w:t xml:space="preserve">National Human Rights Institutions) </w:t>
      </w:r>
      <w:r w:rsidRPr="00AA21B5">
        <w:rPr>
          <w:lang w:val="fr-FR"/>
        </w:rPr>
        <w:t xml:space="preserve">ainsi qu’en reconnaissant le réseau européen de ces institutions et en le soutenant financièrement. </w:t>
      </w:r>
    </w:p>
    <w:p w:rsidR="001F2956" w:rsidRPr="00AA21B5" w:rsidRDefault="001F2956" w:rsidP="00AA21B5">
      <w:pPr>
        <w:spacing w:after="0" w:line="240" w:lineRule="auto"/>
        <w:jc w:val="both"/>
        <w:rPr>
          <w:rFonts w:cstheme="minorHAnsi"/>
          <w:szCs w:val="24"/>
          <w:lang w:val="fr-FR"/>
        </w:rPr>
      </w:pPr>
    </w:p>
    <w:p w:rsidR="00DA3AC4" w:rsidRPr="00AA21B5" w:rsidRDefault="00DA3AC4" w:rsidP="00953B3E">
      <w:pPr>
        <w:pStyle w:val="Titre2"/>
        <w:ind w:left="0"/>
      </w:pPr>
      <w:bookmarkStart w:id="7" w:name="_Toc377028522"/>
      <w:bookmarkStart w:id="8" w:name="_Toc377030202"/>
      <w:r w:rsidRPr="00AA21B5">
        <w:t xml:space="preserve">Traite </w:t>
      </w:r>
      <w:r w:rsidR="002D52E8" w:rsidRPr="00AA21B5">
        <w:t xml:space="preserve">et </w:t>
      </w:r>
      <w:r w:rsidRPr="00AA21B5">
        <w:t>trafic des êtres humains</w:t>
      </w:r>
      <w:bookmarkEnd w:id="7"/>
      <w:bookmarkEnd w:id="8"/>
    </w:p>
    <w:p w:rsidR="00A608DB" w:rsidRDefault="00A608DB" w:rsidP="006924A8">
      <w:pPr>
        <w:pStyle w:val="Titre3"/>
        <w:ind w:left="2124"/>
      </w:pPr>
      <w:bookmarkStart w:id="9" w:name="_Toc377028523"/>
      <w:bookmarkStart w:id="10" w:name="_Toc377030203"/>
    </w:p>
    <w:p w:rsidR="002D52E8" w:rsidRPr="00AA21B5" w:rsidRDefault="002D52E8" w:rsidP="006924A8">
      <w:pPr>
        <w:pStyle w:val="Titre3"/>
        <w:ind w:left="2124"/>
      </w:pPr>
      <w:r w:rsidRPr="00AA21B5">
        <w:t>Collaboration internationale des services d’inspection sociale dans la lutte contre l’exploitation économique</w:t>
      </w:r>
      <w:bookmarkEnd w:id="9"/>
      <w:bookmarkEnd w:id="10"/>
    </w:p>
    <w:p w:rsidR="002D52E8" w:rsidRPr="00AA21B5" w:rsidRDefault="002D52E8" w:rsidP="00AA21B5">
      <w:pPr>
        <w:spacing w:after="0" w:line="240" w:lineRule="auto"/>
        <w:rPr>
          <w:rFonts w:cstheme="minorHAnsi"/>
          <w:lang w:val="fr-FR"/>
        </w:rPr>
      </w:pPr>
    </w:p>
    <w:p w:rsidR="004427A2" w:rsidRDefault="002D52E8" w:rsidP="00A608DB">
      <w:pPr>
        <w:jc w:val="both"/>
        <w:rPr>
          <w:rFonts w:cstheme="minorHAnsi"/>
          <w:lang w:val="fr-FR"/>
        </w:rPr>
      </w:pPr>
      <w:r w:rsidRPr="00AA21B5">
        <w:rPr>
          <w:lang w:val="fr-FR"/>
        </w:rPr>
        <w:t>L’exploitation économique dans le cadre de la traite des êtres humains trouve parfois sa source dans l’utilisation abusive de dispositions européennes, telles que celles liées au détachement de travailleurs. Les services d’inspection nationaux se retrouvent souvent désarmés pour lutter contre ces fraudes, faute d’échange de données à l’échelle internationale. De même, la collaboration  internationale des services d’inspection ne coule pas toujours de source. Des améliorations sont également à apporter sur le plan des saisies, divers pays refusant toute collaboration.</w:t>
      </w:r>
    </w:p>
    <w:p w:rsidR="00C44FA3" w:rsidRDefault="00C44FA3" w:rsidP="004427A2">
      <w:pPr>
        <w:spacing w:after="0" w:line="240" w:lineRule="auto"/>
        <w:rPr>
          <w:rFonts w:cstheme="minorHAnsi"/>
          <w:lang w:val="fr-FR"/>
        </w:rPr>
      </w:pPr>
    </w:p>
    <w:p w:rsidR="00AA21B5" w:rsidRPr="00C44FA3" w:rsidRDefault="002D52E8" w:rsidP="00051B18">
      <w:pPr>
        <w:pStyle w:val="Citationintense"/>
        <w:rPr>
          <w:rStyle w:val="Accentuation"/>
        </w:rPr>
      </w:pPr>
      <w:r w:rsidRPr="00C44FA3">
        <w:rPr>
          <w:rStyle w:val="Accentuation"/>
        </w:rPr>
        <w:t xml:space="preserve">Le Centre estime que la collaboration entre les pays de l’Union européenne doit être améliorée en vue de lutter contre l’exploitation </w:t>
      </w:r>
      <w:r w:rsidRPr="00074C8A">
        <w:rPr>
          <w:rStyle w:val="Accentuation"/>
        </w:rPr>
        <w:t>économique</w:t>
      </w:r>
      <w:r w:rsidRPr="00C44FA3">
        <w:rPr>
          <w:rStyle w:val="Accentuation"/>
        </w:rPr>
        <w:t xml:space="preserve">, tant au niveau des saisies qu’en encourageant la </w:t>
      </w:r>
      <w:r w:rsidRPr="00C44FA3">
        <w:rPr>
          <w:rStyle w:val="Accentuation"/>
        </w:rPr>
        <w:lastRenderedPageBreak/>
        <w:t>collaboration transfrontalière ou la mise en place d’un service d’inspection sociale européen.</w:t>
      </w:r>
    </w:p>
    <w:p w:rsidR="004427A2" w:rsidRDefault="004427A2" w:rsidP="004427A2">
      <w:pPr>
        <w:pStyle w:val="Titre2"/>
        <w:ind w:left="0"/>
        <w:rPr>
          <w:rFonts w:asciiTheme="minorHAnsi" w:eastAsiaTheme="minorEastAsia" w:hAnsiTheme="minorHAnsi" w:cstheme="minorHAnsi"/>
          <w:smallCaps w:val="0"/>
          <w:color w:val="5A5A5A" w:themeColor="text1" w:themeTint="A5"/>
          <w:spacing w:val="0"/>
          <w:sz w:val="20"/>
          <w:szCs w:val="20"/>
          <w:lang w:val="fr-FR"/>
        </w:rPr>
      </w:pPr>
      <w:bookmarkStart w:id="11" w:name="_Toc377028524"/>
      <w:bookmarkStart w:id="12" w:name="_Toc377030204"/>
    </w:p>
    <w:p w:rsidR="004427A2" w:rsidRDefault="004427A2" w:rsidP="004427A2">
      <w:pPr>
        <w:pStyle w:val="Titre2"/>
        <w:ind w:left="0"/>
        <w:rPr>
          <w:rFonts w:asciiTheme="minorHAnsi" w:eastAsiaTheme="minorEastAsia" w:hAnsiTheme="minorHAnsi" w:cstheme="minorHAnsi"/>
          <w:smallCaps w:val="0"/>
          <w:color w:val="5A5A5A" w:themeColor="text1" w:themeTint="A5"/>
          <w:spacing w:val="0"/>
          <w:sz w:val="20"/>
          <w:szCs w:val="20"/>
          <w:lang w:val="fr-FR"/>
        </w:rPr>
      </w:pPr>
    </w:p>
    <w:p w:rsidR="004427A2" w:rsidRDefault="004427A2" w:rsidP="004427A2">
      <w:pPr>
        <w:pStyle w:val="Titre2"/>
        <w:ind w:left="0"/>
        <w:rPr>
          <w:rFonts w:asciiTheme="minorHAnsi" w:eastAsiaTheme="minorEastAsia" w:hAnsiTheme="minorHAnsi" w:cstheme="minorHAnsi"/>
          <w:smallCaps w:val="0"/>
          <w:color w:val="5A5A5A" w:themeColor="text1" w:themeTint="A5"/>
          <w:spacing w:val="0"/>
          <w:sz w:val="20"/>
          <w:szCs w:val="20"/>
          <w:lang w:val="fr-FR"/>
        </w:rPr>
      </w:pPr>
    </w:p>
    <w:p w:rsidR="00863DBC" w:rsidRPr="00AA21B5" w:rsidRDefault="00863DBC" w:rsidP="00953B3E">
      <w:pPr>
        <w:pStyle w:val="Titre2"/>
        <w:ind w:left="0"/>
      </w:pPr>
      <w:r w:rsidRPr="00AA21B5">
        <w:t>Feuille de route LGBT</w:t>
      </w:r>
      <w:bookmarkEnd w:id="11"/>
      <w:bookmarkEnd w:id="12"/>
    </w:p>
    <w:p w:rsidR="00B00354" w:rsidRPr="00AA21B5" w:rsidRDefault="00B00354" w:rsidP="00AA21B5">
      <w:pPr>
        <w:spacing w:after="0" w:line="240" w:lineRule="auto"/>
        <w:jc w:val="both"/>
        <w:rPr>
          <w:rFonts w:cstheme="minorHAnsi"/>
          <w:lang w:val="fr-FR"/>
        </w:rPr>
      </w:pPr>
    </w:p>
    <w:p w:rsidR="00EF08BE" w:rsidRDefault="00EF08BE" w:rsidP="00A608DB">
      <w:pPr>
        <w:spacing w:after="0"/>
        <w:jc w:val="both"/>
        <w:rPr>
          <w:lang w:val="fr-FR"/>
        </w:rPr>
      </w:pPr>
      <w:r w:rsidRPr="00AA21B5">
        <w:rPr>
          <w:lang w:val="fr-FR"/>
        </w:rPr>
        <w:t xml:space="preserve">L’Europe a un rôle important à jouer sur le plan de l’émancipation, de l’égalité des chances et de la lutte contre les discriminations et a également fait souvent œuvre de pionnier en la matière. Afin de coordonner sa politique en la matière, la Commission européenne a dès lors adopté une </w:t>
      </w:r>
      <w:r w:rsidRPr="00AA21B5">
        <w:rPr>
          <w:i/>
          <w:lang w:val="fr-FR"/>
        </w:rPr>
        <w:t>Feuille de route</w:t>
      </w:r>
      <w:r w:rsidRPr="00AA21B5">
        <w:rPr>
          <w:lang w:val="fr-FR"/>
        </w:rPr>
        <w:t xml:space="preserve"> dans différents domaines. En ce qui concerne la thématique LGBT, ce n’est toutefois pas encore le cas, bien qu’il apparaisse clairement que le travail à abattre reste considérable. Les résultats de la </w:t>
      </w:r>
      <w:r w:rsidRPr="00AA21B5">
        <w:rPr>
          <w:i/>
          <w:lang w:val="fr-FR"/>
        </w:rPr>
        <w:t>FRA LGBT Survey</w:t>
      </w:r>
      <w:r w:rsidRPr="00AA21B5">
        <w:rPr>
          <w:lang w:val="fr-FR"/>
        </w:rPr>
        <w:t xml:space="preserve"> (Enquête de la FRA sur les personnes LGBT dans l’UE – publiée en mai 2013), menée auprès de plus de 93 000 citoyens de l’UE, en disent long en la matière. </w:t>
      </w:r>
    </w:p>
    <w:p w:rsidR="00AA21B5" w:rsidRPr="00AA21B5" w:rsidRDefault="00AA21B5" w:rsidP="00A608DB">
      <w:pPr>
        <w:spacing w:after="0" w:line="240" w:lineRule="auto"/>
        <w:ind w:left="2127"/>
        <w:jc w:val="both"/>
        <w:rPr>
          <w:rFonts w:cstheme="minorHAnsi"/>
          <w:szCs w:val="24"/>
          <w:lang w:val="fr-FR"/>
        </w:rPr>
      </w:pPr>
    </w:p>
    <w:p w:rsidR="00AA21B5" w:rsidRDefault="00C54ACF" w:rsidP="00A608DB">
      <w:pPr>
        <w:spacing w:after="0"/>
        <w:jc w:val="both"/>
        <w:rPr>
          <w:lang w:val="fr-FR"/>
        </w:rPr>
      </w:pPr>
      <w:r w:rsidRPr="00AA21B5">
        <w:rPr>
          <w:lang w:val="fr-FR"/>
        </w:rPr>
        <w:t>Une politique LGBT globale et coordonnée fai</w:t>
      </w:r>
      <w:r w:rsidR="00E64863">
        <w:rPr>
          <w:lang w:val="fr-FR"/>
        </w:rPr>
        <w:t xml:space="preserve">t toutefois encore défaut </w:t>
      </w:r>
      <w:r w:rsidRPr="00AA21B5">
        <w:rPr>
          <w:lang w:val="fr-FR"/>
        </w:rPr>
        <w:t xml:space="preserve">à ce jour. Une somme conséquente de travail préparatoire a néanmoins déjà été abattue. Le Parlement européen a ainsi publié en 2012 une étude qui démontre clairement la faisabilité et le caractère souhaitable d’une Feuille de route LGBT. </w:t>
      </w:r>
    </w:p>
    <w:p w:rsidR="00FE7B30" w:rsidRDefault="00FE7B30" w:rsidP="00A608DB">
      <w:pPr>
        <w:spacing w:after="0"/>
        <w:jc w:val="both"/>
        <w:rPr>
          <w:lang w:val="fr-FR"/>
        </w:rPr>
      </w:pPr>
    </w:p>
    <w:p w:rsidR="00C44FA3" w:rsidRPr="00C04B50" w:rsidRDefault="00C44FA3" w:rsidP="00C44FA3">
      <w:pPr>
        <w:spacing w:after="0" w:line="240" w:lineRule="auto"/>
        <w:ind w:left="2127"/>
        <w:jc w:val="both"/>
        <w:rPr>
          <w:rStyle w:val="Accentuation"/>
          <w:lang w:val="fr-FR"/>
        </w:rPr>
      </w:pPr>
    </w:p>
    <w:p w:rsidR="00C54ACF" w:rsidRPr="00E81429" w:rsidRDefault="00C54ACF" w:rsidP="00051B18">
      <w:pPr>
        <w:pStyle w:val="Citationintense"/>
        <w:rPr>
          <w:rStyle w:val="Accentuation"/>
        </w:rPr>
      </w:pPr>
      <w:r w:rsidRPr="00E81429">
        <w:rPr>
          <w:rStyle w:val="Accentuation"/>
        </w:rPr>
        <w:t>Le Centre demande que l’on s’attelle à la rédaction d’une Feuille de route UE LGBT</w:t>
      </w:r>
    </w:p>
    <w:p w:rsidR="00AA21B5" w:rsidRDefault="00AA21B5" w:rsidP="00AA21B5">
      <w:pPr>
        <w:spacing w:after="0" w:line="240" w:lineRule="auto"/>
        <w:jc w:val="both"/>
        <w:rPr>
          <w:rFonts w:cstheme="minorHAnsi"/>
          <w:szCs w:val="24"/>
          <w:lang w:val="fr-FR"/>
        </w:rPr>
      </w:pPr>
    </w:p>
    <w:p w:rsidR="00AA21B5" w:rsidRPr="00A608DB" w:rsidRDefault="00AA21B5" w:rsidP="00A608DB">
      <w:pPr>
        <w:spacing w:after="0" w:line="240" w:lineRule="auto"/>
        <w:ind w:left="2127"/>
        <w:jc w:val="both"/>
        <w:rPr>
          <w:rFonts w:cstheme="minorHAnsi"/>
          <w:sz w:val="18"/>
          <w:szCs w:val="18"/>
          <w:lang w:val="fr-FR"/>
        </w:rPr>
      </w:pPr>
      <w:r w:rsidRPr="00A608DB">
        <w:rPr>
          <w:rFonts w:cstheme="minorHAnsi"/>
          <w:sz w:val="18"/>
          <w:szCs w:val="18"/>
          <w:lang w:val="fr-FR"/>
        </w:rPr>
        <w:t>Références :</w:t>
      </w:r>
    </w:p>
    <w:p w:rsidR="00E81429" w:rsidRPr="00A608DB" w:rsidRDefault="00E81429" w:rsidP="00AA21B5">
      <w:pPr>
        <w:spacing w:after="0" w:line="240" w:lineRule="auto"/>
        <w:jc w:val="both"/>
        <w:rPr>
          <w:rFonts w:cstheme="minorHAnsi"/>
          <w:sz w:val="18"/>
          <w:szCs w:val="18"/>
          <w:lang w:val="fr-FR"/>
        </w:rPr>
      </w:pPr>
    </w:p>
    <w:p w:rsidR="00C54ACF" w:rsidRPr="00A608DB" w:rsidRDefault="00C54ACF" w:rsidP="007D010D">
      <w:pPr>
        <w:pStyle w:val="Paragraphedeliste"/>
        <w:numPr>
          <w:ilvl w:val="0"/>
          <w:numId w:val="9"/>
        </w:numPr>
        <w:spacing w:after="0" w:line="240" w:lineRule="auto"/>
        <w:rPr>
          <w:rFonts w:cstheme="minorHAnsi"/>
          <w:sz w:val="18"/>
          <w:szCs w:val="18"/>
          <w:lang w:val="fr-FR"/>
        </w:rPr>
      </w:pPr>
      <w:r w:rsidRPr="00A608DB">
        <w:rPr>
          <w:rFonts w:cstheme="minorHAnsi"/>
          <w:sz w:val="18"/>
          <w:szCs w:val="18"/>
          <w:lang w:val="fr-FR"/>
        </w:rPr>
        <w:t>FRA LGBT Survey :</w:t>
      </w:r>
      <w:hyperlink r:id="rId10" w:history="1">
        <w:r w:rsidRPr="00A608DB">
          <w:rPr>
            <w:rStyle w:val="Lienhypertexte"/>
            <w:rFonts w:cstheme="minorHAnsi"/>
            <w:sz w:val="18"/>
            <w:szCs w:val="18"/>
            <w:lang w:val="fr-FR"/>
          </w:rPr>
          <w:t>http://fra.europa.eu/en/survey/2012/eu-lgbt-survey</w:t>
        </w:r>
      </w:hyperlink>
      <w:r w:rsidRPr="00A608DB">
        <w:rPr>
          <w:rFonts w:cstheme="minorHAnsi"/>
          <w:sz w:val="18"/>
          <w:szCs w:val="18"/>
          <w:lang w:val="fr-FR"/>
        </w:rPr>
        <w:t xml:space="preserve"> </w:t>
      </w:r>
    </w:p>
    <w:p w:rsidR="006B0C24" w:rsidRPr="00A608DB" w:rsidRDefault="00AA21B5" w:rsidP="007D010D">
      <w:pPr>
        <w:pStyle w:val="Paragraphedeliste"/>
        <w:numPr>
          <w:ilvl w:val="0"/>
          <w:numId w:val="9"/>
        </w:numPr>
        <w:spacing w:after="0" w:line="240" w:lineRule="auto"/>
        <w:rPr>
          <w:rFonts w:cstheme="minorHAnsi"/>
          <w:sz w:val="18"/>
          <w:szCs w:val="18"/>
          <w:lang w:val="fr-FR"/>
        </w:rPr>
      </w:pPr>
      <w:r w:rsidRPr="00A608DB">
        <w:rPr>
          <w:rFonts w:cstheme="minorHAnsi"/>
          <w:sz w:val="18"/>
          <w:szCs w:val="18"/>
          <w:lang w:val="fr-FR"/>
        </w:rPr>
        <w:t xml:space="preserve">Étude Feuille de route PE : </w:t>
      </w:r>
      <w:hyperlink r:id="rId11" w:history="1">
        <w:r w:rsidR="006B0C24" w:rsidRPr="00A608DB">
          <w:rPr>
            <w:rStyle w:val="Lienhypertexte"/>
            <w:rFonts w:cstheme="minorHAnsi"/>
            <w:sz w:val="18"/>
            <w:szCs w:val="18"/>
            <w:lang w:val="fr-FR"/>
          </w:rPr>
          <w:t>http://www.lgbt-ep.eu/wp-content/uploads/2012/10/European-Parliament-Study-PE462.482-Towards-an-EU-roadmap-for-equality-on-grounds-of-sexual-orientation-and-gender-identity.pdf</w:t>
        </w:r>
      </w:hyperlink>
    </w:p>
    <w:p w:rsidR="00926150" w:rsidRPr="00A608DB" w:rsidRDefault="00926150" w:rsidP="00AA21B5">
      <w:pPr>
        <w:spacing w:after="0" w:line="240" w:lineRule="auto"/>
        <w:jc w:val="both"/>
        <w:rPr>
          <w:rFonts w:cstheme="minorHAnsi"/>
          <w:sz w:val="18"/>
          <w:szCs w:val="18"/>
          <w:lang w:val="fr-FR"/>
        </w:rPr>
      </w:pPr>
      <w:r w:rsidRPr="00A608DB">
        <w:rPr>
          <w:rFonts w:cstheme="minorHAnsi"/>
          <w:sz w:val="18"/>
          <w:szCs w:val="18"/>
          <w:lang w:val="fr-FR"/>
        </w:rPr>
        <w:br w:type="page"/>
      </w:r>
    </w:p>
    <w:p w:rsidR="00C54ACF" w:rsidRPr="00AA21B5" w:rsidRDefault="00C54ACF" w:rsidP="00C44FA3">
      <w:pPr>
        <w:pStyle w:val="Titre1"/>
        <w:ind w:left="0"/>
      </w:pPr>
      <w:bookmarkStart w:id="13" w:name="_Toc377028525"/>
      <w:bookmarkStart w:id="14" w:name="_Toc377030205"/>
      <w:r w:rsidRPr="00AA21B5">
        <w:lastRenderedPageBreak/>
        <w:t>Transversal</w:t>
      </w:r>
      <w:bookmarkEnd w:id="13"/>
      <w:bookmarkEnd w:id="14"/>
    </w:p>
    <w:p w:rsidR="00926150" w:rsidRPr="00AA21B5" w:rsidRDefault="00926150" w:rsidP="00AA21B5">
      <w:pPr>
        <w:spacing w:after="0" w:line="240" w:lineRule="auto"/>
        <w:jc w:val="both"/>
        <w:rPr>
          <w:rFonts w:cstheme="minorHAnsi"/>
          <w:lang w:val="fr-FR"/>
        </w:rPr>
      </w:pPr>
    </w:p>
    <w:p w:rsidR="00C54ACF" w:rsidRPr="00AA21B5" w:rsidRDefault="00C54ACF" w:rsidP="00953B3E">
      <w:pPr>
        <w:pStyle w:val="Titre2"/>
        <w:ind w:left="0"/>
      </w:pPr>
      <w:bookmarkStart w:id="15" w:name="_Toc377028526"/>
      <w:bookmarkStart w:id="16" w:name="_Toc377030206"/>
      <w:r w:rsidRPr="00AA21B5">
        <w:t>Plans d’actions nationaux</w:t>
      </w:r>
      <w:bookmarkEnd w:id="15"/>
      <w:bookmarkEnd w:id="16"/>
    </w:p>
    <w:p w:rsidR="00926150" w:rsidRPr="00AA21B5" w:rsidRDefault="00926150" w:rsidP="00AA21B5">
      <w:pPr>
        <w:spacing w:after="0" w:line="240" w:lineRule="auto"/>
        <w:jc w:val="both"/>
        <w:rPr>
          <w:rFonts w:cstheme="minorHAnsi"/>
          <w:lang w:val="fr-FR"/>
        </w:rPr>
      </w:pPr>
    </w:p>
    <w:p w:rsidR="00C54ACF" w:rsidRDefault="00C54ACF" w:rsidP="00C04B50">
      <w:pPr>
        <w:pStyle w:val="Titre3"/>
        <w:ind w:left="1416" w:firstLine="708"/>
      </w:pPr>
      <w:bookmarkStart w:id="17" w:name="_Toc377028527"/>
      <w:bookmarkStart w:id="18" w:name="_Toc377030207"/>
      <w:r w:rsidRPr="00AA21B5">
        <w:t>Racisme</w:t>
      </w:r>
      <w:bookmarkEnd w:id="17"/>
      <w:bookmarkEnd w:id="18"/>
    </w:p>
    <w:p w:rsidR="00DE48D7" w:rsidRDefault="00DE48D7" w:rsidP="00DE48D7">
      <w:pPr>
        <w:jc w:val="both"/>
      </w:pPr>
    </w:p>
    <w:p w:rsidR="004E0FAC" w:rsidRDefault="00C54ACF" w:rsidP="00A608DB">
      <w:pPr>
        <w:spacing w:after="0"/>
        <w:jc w:val="both"/>
        <w:rPr>
          <w:lang w:val="fr-FR"/>
        </w:rPr>
      </w:pPr>
      <w:r w:rsidRPr="00AA21B5">
        <w:t xml:space="preserve">La Belgique </w:t>
      </w:r>
      <w:r w:rsidR="00CF3BCB">
        <w:t>doit se doter</w:t>
      </w:r>
      <w:r w:rsidRPr="00AA21B5">
        <w:t xml:space="preserve"> d’un plan d’action national contre le racisme, la discrimination raciale, la xénophobie et l’intolérance qui y est associée. </w:t>
      </w:r>
      <w:r w:rsidR="00CF3BCB">
        <w:t>Pour rappel, i</w:t>
      </w:r>
      <w:r w:rsidR="004E0FAC" w:rsidRPr="00AA21B5">
        <w:rPr>
          <w:lang w:val="fr-FR"/>
        </w:rPr>
        <w:t>l y a</w:t>
      </w:r>
      <w:r w:rsidR="00427664">
        <w:rPr>
          <w:lang w:val="fr-FR"/>
        </w:rPr>
        <w:t xml:space="preserve"> presque</w:t>
      </w:r>
      <w:r w:rsidR="004E0FAC" w:rsidRPr="00AA21B5">
        <w:rPr>
          <w:lang w:val="fr-FR"/>
        </w:rPr>
        <w:t xml:space="preserve"> treize ans, Durban avait confié à chaque pays la mission d’élaborer un plan d’action national contre le racisme. </w:t>
      </w:r>
      <w:r w:rsidR="003E0AEA" w:rsidRPr="00AA21B5">
        <w:rPr>
          <w:lang w:val="fr-FR"/>
        </w:rPr>
        <w:t xml:space="preserve">À l’automne 2002, le Premier ministre de l’époque avait, à cette occasion, demandé au Centre de préparer un projet </w:t>
      </w:r>
      <w:r w:rsidR="00427664">
        <w:rPr>
          <w:lang w:val="fr-FR"/>
        </w:rPr>
        <w:t xml:space="preserve">de </w:t>
      </w:r>
      <w:r w:rsidR="003E0AEA" w:rsidRPr="00AA21B5">
        <w:rPr>
          <w:lang w:val="fr-FR"/>
        </w:rPr>
        <w:t>« </w:t>
      </w:r>
      <w:r w:rsidR="003E0AEA" w:rsidRPr="00CF3BCB">
        <w:rPr>
          <w:i/>
          <w:lang w:val="fr-FR"/>
        </w:rPr>
        <w:t>Plan d’action national contre le racisme, la discrimination raciale, la xénophobie et l’intolérance qui y est associée »</w:t>
      </w:r>
      <w:r w:rsidR="003E0AEA" w:rsidRPr="00AA21B5">
        <w:rPr>
          <w:lang w:val="fr-FR"/>
        </w:rPr>
        <w:t xml:space="preserve">. </w:t>
      </w:r>
      <w:r w:rsidR="004E0FAC" w:rsidRPr="00AA21B5">
        <w:rPr>
          <w:lang w:val="fr-FR"/>
        </w:rPr>
        <w:t>Malgré de nombreuses tentatives et une concertation entre les différents niveaux de pouvoirs, un tel plan n’a jamais été adopté en Belgique.</w:t>
      </w:r>
    </w:p>
    <w:p w:rsidR="00AA21B5" w:rsidRPr="00AA21B5" w:rsidRDefault="00AA21B5" w:rsidP="00A608DB">
      <w:pPr>
        <w:spacing w:after="0" w:line="240" w:lineRule="auto"/>
        <w:jc w:val="both"/>
        <w:rPr>
          <w:rFonts w:cstheme="minorHAnsi"/>
          <w:szCs w:val="24"/>
          <w:lang w:val="fr-FR"/>
        </w:rPr>
      </w:pPr>
    </w:p>
    <w:p w:rsidR="00C75578" w:rsidRDefault="00C75578" w:rsidP="00A608DB">
      <w:pPr>
        <w:pStyle w:val="Stijl1"/>
        <w:spacing w:after="0"/>
        <w:jc w:val="both"/>
      </w:pPr>
      <w:r w:rsidRPr="00AA21B5">
        <w:t xml:space="preserve">Bien que l’on ait enregistré </w:t>
      </w:r>
      <w:r w:rsidR="00F758D5" w:rsidRPr="00AA21B5">
        <w:t xml:space="preserve">de nombreuses </w:t>
      </w:r>
      <w:r w:rsidRPr="00AA21B5">
        <w:t xml:space="preserve"> avancées, par exemple sur le plan d’une meilleure application des dispositions pénales contre le racisme, nous </w:t>
      </w:r>
      <w:r w:rsidR="00CF3BCB">
        <w:t xml:space="preserve">restons </w:t>
      </w:r>
      <w:r w:rsidRPr="00AA21B5">
        <w:t xml:space="preserve">confrontés à </w:t>
      </w:r>
      <w:r w:rsidR="00CF3BCB">
        <w:t>des défis de</w:t>
      </w:r>
      <w:r w:rsidR="00F758D5" w:rsidRPr="00AA21B5">
        <w:t xml:space="preserve"> taille</w:t>
      </w:r>
      <w:r w:rsidR="00CF3BCB">
        <w:t>, s</w:t>
      </w:r>
      <w:r w:rsidRPr="00AA21B5">
        <w:t xml:space="preserve">urtout en ce qui concerne les tensions croissantes dans </w:t>
      </w:r>
      <w:r w:rsidR="00F758D5" w:rsidRPr="00AA21B5">
        <w:t xml:space="preserve">une </w:t>
      </w:r>
      <w:r w:rsidRPr="00AA21B5">
        <w:t>société</w:t>
      </w:r>
      <w:r w:rsidR="00F758D5" w:rsidRPr="00AA21B5">
        <w:t xml:space="preserve"> toujours </w:t>
      </w:r>
      <w:r w:rsidRPr="00AA21B5">
        <w:t xml:space="preserve">plus diversifiée et la forte hausse du discours raciste, antisémite, islamophobe et xénophobe sur internet. </w:t>
      </w:r>
      <w:r w:rsidR="00F758D5" w:rsidRPr="00AA21B5">
        <w:t xml:space="preserve">Nous observons également des formes tenaces de discrimination directe et indirecte sur base de la nationalité dans le secteur de </w:t>
      </w:r>
      <w:r w:rsidRPr="00AA21B5">
        <w:t xml:space="preserve"> l’emploi, l’enseignement, le logement</w:t>
      </w:r>
      <w:r w:rsidRPr="00AA21B5">
        <w:rPr>
          <w:rStyle w:val="Appelnotedebasdep"/>
          <w:rFonts w:cstheme="minorHAnsi"/>
          <w:szCs w:val="24"/>
        </w:rPr>
        <w:footnoteReference w:id="1"/>
      </w:r>
      <w:r w:rsidRPr="00AA21B5">
        <w:t xml:space="preserve"> et dans les services publics</w:t>
      </w:r>
      <w:r w:rsidR="00F758D5" w:rsidRPr="00AA21B5">
        <w:t xml:space="preserve">. </w:t>
      </w:r>
    </w:p>
    <w:p w:rsidR="007D010D" w:rsidRPr="00AA21B5" w:rsidRDefault="007D010D" w:rsidP="00A608DB">
      <w:pPr>
        <w:spacing w:after="0" w:line="240" w:lineRule="auto"/>
        <w:jc w:val="both"/>
        <w:rPr>
          <w:rFonts w:cstheme="minorHAnsi"/>
          <w:szCs w:val="24"/>
          <w:lang w:val="fr-FR"/>
        </w:rPr>
      </w:pPr>
    </w:p>
    <w:p w:rsidR="00AA21B5" w:rsidRDefault="00C75578" w:rsidP="00A608DB">
      <w:pPr>
        <w:pStyle w:val="Stijl1"/>
        <w:spacing w:after="0"/>
        <w:jc w:val="both"/>
      </w:pPr>
      <w:r w:rsidRPr="00AA21B5">
        <w:t xml:space="preserve">Le principal objectif mis en avant au cours de la déclaration finale Durban II (2009), était la (re)mobilisation de la volonté politique de s’élever ensemble contre le racisme, tant au niveau </w:t>
      </w:r>
      <w:r w:rsidR="00427664">
        <w:t xml:space="preserve">régional, </w:t>
      </w:r>
      <w:r w:rsidRPr="00AA21B5">
        <w:t>national qu’international. La lutte contre le racisme est en effet une responsabilité que doit prendre l’ensemble de la société, elle n’est pas seulement celle des pouvoirs publics ou des victimes.</w:t>
      </w:r>
    </w:p>
    <w:p w:rsidR="00C04B50" w:rsidRDefault="00C04B50" w:rsidP="00A608DB">
      <w:pPr>
        <w:spacing w:after="0" w:line="240" w:lineRule="auto"/>
        <w:jc w:val="both"/>
        <w:rPr>
          <w:rFonts w:cstheme="minorHAnsi"/>
          <w:szCs w:val="24"/>
          <w:lang w:val="fr-FR"/>
        </w:rPr>
      </w:pPr>
    </w:p>
    <w:p w:rsidR="00C04B50" w:rsidRPr="00C04B50" w:rsidRDefault="00C04B50" w:rsidP="00A608DB">
      <w:pPr>
        <w:spacing w:after="0" w:line="240" w:lineRule="auto"/>
        <w:jc w:val="both"/>
        <w:rPr>
          <w:rFonts w:cstheme="minorHAnsi"/>
          <w:szCs w:val="24"/>
          <w:lang w:val="fr-FR"/>
        </w:rPr>
      </w:pPr>
    </w:p>
    <w:p w:rsidR="00C04B50" w:rsidRPr="00074C8A" w:rsidRDefault="00EE0384" w:rsidP="00051B18">
      <w:pPr>
        <w:pStyle w:val="Citationintense"/>
        <w:rPr>
          <w:rStyle w:val="Accentuation"/>
        </w:rPr>
      </w:pPr>
      <w:r w:rsidRPr="00CC3F34">
        <w:rPr>
          <w:rStyle w:val="Accentuation"/>
        </w:rPr>
        <w:t>Le</w:t>
      </w:r>
      <w:r w:rsidR="004C34FD" w:rsidRPr="00CC3F34">
        <w:rPr>
          <w:rStyle w:val="Accentuation"/>
        </w:rPr>
        <w:t xml:space="preserve"> Centre </w:t>
      </w:r>
      <w:r w:rsidR="00AF20FB" w:rsidRPr="00CC3F34">
        <w:rPr>
          <w:rStyle w:val="Accentuation"/>
        </w:rPr>
        <w:t xml:space="preserve">encourage </w:t>
      </w:r>
      <w:r w:rsidR="004C34FD" w:rsidRPr="00CC3F34">
        <w:rPr>
          <w:rStyle w:val="Accentuation"/>
        </w:rPr>
        <w:t xml:space="preserve"> le</w:t>
      </w:r>
      <w:r w:rsidRPr="00CC3F34">
        <w:rPr>
          <w:rStyle w:val="Accentuation"/>
        </w:rPr>
        <w:t xml:space="preserve">s assemblées et les gouvernements qui seront issus des élections de 2014 </w:t>
      </w:r>
      <w:r w:rsidR="00AF20FB" w:rsidRPr="00CC3F34">
        <w:rPr>
          <w:rStyle w:val="Accentuation"/>
        </w:rPr>
        <w:t xml:space="preserve">à </w:t>
      </w:r>
      <w:r w:rsidR="0080243A" w:rsidRPr="00CC3F34">
        <w:rPr>
          <w:rStyle w:val="Accentuation"/>
        </w:rPr>
        <w:t xml:space="preserve">saisir cette opportunité unique de </w:t>
      </w:r>
      <w:r w:rsidRPr="00CC3F34">
        <w:rPr>
          <w:rStyle w:val="Accentuation"/>
        </w:rPr>
        <w:t xml:space="preserve">relancer la dynamique visant </w:t>
      </w:r>
      <w:r w:rsidR="00757057" w:rsidRPr="00CC3F34">
        <w:rPr>
          <w:rStyle w:val="Accentuation"/>
        </w:rPr>
        <w:t xml:space="preserve">à </w:t>
      </w:r>
      <w:r w:rsidRPr="00CC3F34">
        <w:rPr>
          <w:rStyle w:val="Accentuation"/>
        </w:rPr>
        <w:t>adopt</w:t>
      </w:r>
      <w:r w:rsidR="00757057" w:rsidRPr="00CC3F34">
        <w:rPr>
          <w:rStyle w:val="Accentuation"/>
        </w:rPr>
        <w:t xml:space="preserve">er </w:t>
      </w:r>
      <w:r w:rsidRPr="00CC3F34">
        <w:rPr>
          <w:rStyle w:val="Accentuation"/>
        </w:rPr>
        <w:t>un plan d’action national/</w:t>
      </w:r>
      <w:r w:rsidR="005F362C">
        <w:rPr>
          <w:rStyle w:val="Accentuation"/>
        </w:rPr>
        <w:t xml:space="preserve"> </w:t>
      </w:r>
      <w:r w:rsidRPr="00CC3F34">
        <w:rPr>
          <w:rStyle w:val="Accentuation"/>
        </w:rPr>
        <w:t>interfédéral</w:t>
      </w:r>
      <w:r w:rsidR="00F758D5" w:rsidRPr="00CC3F34">
        <w:rPr>
          <w:rStyle w:val="Accentuation"/>
        </w:rPr>
        <w:t xml:space="preserve"> </w:t>
      </w:r>
      <w:r w:rsidR="00AF20FB" w:rsidRPr="00CC3F34">
        <w:rPr>
          <w:rStyle w:val="Accentuation"/>
        </w:rPr>
        <w:t>contre le racisme, la discrimination raciale, la xénophobie et l’intolérance qui y est associée</w:t>
      </w:r>
      <w:r w:rsidR="00AF20FB" w:rsidRPr="00074C8A">
        <w:rPr>
          <w:rStyle w:val="Accentuation"/>
        </w:rPr>
        <w:t>.</w:t>
      </w:r>
    </w:p>
    <w:p w:rsidR="00074C8A" w:rsidRDefault="00074C8A" w:rsidP="00074C8A">
      <w:pPr>
        <w:pStyle w:val="Sansinterligne"/>
        <w:rPr>
          <w:rStyle w:val="Accentuation"/>
        </w:rPr>
      </w:pPr>
    </w:p>
    <w:p w:rsidR="00501558" w:rsidRDefault="00501558" w:rsidP="0020031D">
      <w:pPr>
        <w:jc w:val="both"/>
        <w:rPr>
          <w:lang w:val="fr-FR"/>
        </w:rPr>
      </w:pPr>
      <w:r w:rsidRPr="00AA21B5">
        <w:rPr>
          <w:lang w:val="fr-FR"/>
        </w:rPr>
        <w:t>L’adoption d’un tel plan d’action national/interfédéral doit également être l’occasion de prendre en considération les recommandations issues de la Commission du Dialogue interculturel (2004) et des Assises de l’interculturalité (2010) et de repenser</w:t>
      </w:r>
      <w:r w:rsidR="007D4242" w:rsidRPr="00AA21B5">
        <w:rPr>
          <w:lang w:val="fr-FR"/>
        </w:rPr>
        <w:t xml:space="preserve"> cet </w:t>
      </w:r>
      <w:r w:rsidRPr="00AA21B5">
        <w:rPr>
          <w:lang w:val="fr-FR"/>
        </w:rPr>
        <w:t>héritage à la lumière des réalités et  enjeux actuels.</w:t>
      </w:r>
    </w:p>
    <w:p w:rsidR="00A608DB" w:rsidRDefault="00A608DB" w:rsidP="0020031D">
      <w:pPr>
        <w:jc w:val="both"/>
        <w:rPr>
          <w:lang w:val="fr-FR"/>
        </w:rPr>
      </w:pPr>
    </w:p>
    <w:p w:rsidR="002E4F7D" w:rsidRPr="00AA21B5" w:rsidRDefault="002E4F7D" w:rsidP="00AA21B5">
      <w:pPr>
        <w:pStyle w:val="Titre3"/>
      </w:pPr>
      <w:bookmarkStart w:id="19" w:name="_Toc377028528"/>
      <w:bookmarkStart w:id="20" w:name="_Toc377030208"/>
      <w:r w:rsidRPr="00AA21B5">
        <w:t>Se doter d’un mécanisme d’évaluation de la stratégie nationale d’intégration des Roms</w:t>
      </w:r>
      <w:bookmarkEnd w:id="19"/>
      <w:bookmarkEnd w:id="20"/>
    </w:p>
    <w:p w:rsidR="00B00354" w:rsidRPr="00AA21B5" w:rsidRDefault="00B00354" w:rsidP="00AA21B5">
      <w:pPr>
        <w:spacing w:after="0" w:line="240" w:lineRule="auto"/>
        <w:jc w:val="both"/>
        <w:rPr>
          <w:rFonts w:cstheme="minorHAnsi"/>
          <w:lang w:val="fr-FR"/>
        </w:rPr>
      </w:pPr>
    </w:p>
    <w:p w:rsidR="002E4F7D" w:rsidRDefault="002E4F7D" w:rsidP="00A608DB">
      <w:pPr>
        <w:spacing w:after="0"/>
        <w:jc w:val="both"/>
        <w:rPr>
          <w:lang w:val="fr-FR"/>
        </w:rPr>
      </w:pPr>
      <w:r w:rsidRPr="00AA21B5">
        <w:rPr>
          <w:lang w:val="fr-FR"/>
        </w:rPr>
        <w:t xml:space="preserve">L’objectif de cette proposition est de mesurer si les orientations politiques adoptées dans la stratégie </w:t>
      </w:r>
      <w:r w:rsidR="00CF3BCB">
        <w:rPr>
          <w:lang w:val="fr-FR"/>
        </w:rPr>
        <w:t xml:space="preserve">nationale d’intégration des </w:t>
      </w:r>
      <w:proofErr w:type="spellStart"/>
      <w:r w:rsidR="00CF3BCB">
        <w:rPr>
          <w:lang w:val="fr-FR"/>
        </w:rPr>
        <w:t>Roms</w:t>
      </w:r>
      <w:proofErr w:type="spellEnd"/>
      <w:r w:rsidR="00CF3BCB">
        <w:rPr>
          <w:lang w:val="fr-FR"/>
        </w:rPr>
        <w:t xml:space="preserve"> </w:t>
      </w:r>
      <w:r w:rsidRPr="00AA21B5">
        <w:rPr>
          <w:lang w:val="fr-FR"/>
        </w:rPr>
        <w:t xml:space="preserve">et les actions proposées rencontrent </w:t>
      </w:r>
      <w:r w:rsidR="00CF3BCB">
        <w:rPr>
          <w:lang w:val="fr-FR"/>
        </w:rPr>
        <w:t xml:space="preserve">effectivement </w:t>
      </w:r>
      <w:r w:rsidRPr="00AA21B5">
        <w:rPr>
          <w:lang w:val="fr-FR"/>
        </w:rPr>
        <w:t>leurs objectifs.</w:t>
      </w:r>
    </w:p>
    <w:p w:rsidR="00AA21B5" w:rsidRPr="00AA21B5" w:rsidRDefault="00AA21B5" w:rsidP="00A608DB">
      <w:pPr>
        <w:spacing w:after="0" w:line="240" w:lineRule="auto"/>
        <w:jc w:val="both"/>
        <w:rPr>
          <w:rFonts w:cstheme="minorHAnsi"/>
          <w:lang w:val="fr-FR"/>
        </w:rPr>
      </w:pPr>
    </w:p>
    <w:p w:rsidR="00AA21B5" w:rsidRDefault="002E4F7D" w:rsidP="00A608DB">
      <w:pPr>
        <w:spacing w:after="0"/>
        <w:jc w:val="both"/>
        <w:rPr>
          <w:lang w:val="fr-FR"/>
        </w:rPr>
      </w:pPr>
      <w:r w:rsidRPr="00AA21B5">
        <w:rPr>
          <w:lang w:val="fr-FR"/>
        </w:rPr>
        <w:t xml:space="preserve">La </w:t>
      </w:r>
      <w:r w:rsidR="0020031D">
        <w:rPr>
          <w:lang w:val="fr-FR"/>
        </w:rPr>
        <w:t>C</w:t>
      </w:r>
      <w:r w:rsidRPr="00AA21B5">
        <w:rPr>
          <w:lang w:val="fr-FR"/>
        </w:rPr>
        <w:t>ommission européenne, dans sa communication « COM(2012) 226 final - </w:t>
      </w:r>
      <w:r w:rsidRPr="00AA21B5">
        <w:rPr>
          <w:bCs/>
          <w:lang w:val="fr-FR"/>
        </w:rPr>
        <w:t>National Roma Integration Strategies: a first step in the implementation of the EU Framework »,</w:t>
      </w:r>
      <w:r w:rsidRPr="00AA21B5">
        <w:rPr>
          <w:lang w:val="fr-FR"/>
        </w:rPr>
        <w:t xml:space="preserve"> a identifié plusieurs manquements dans les différents domaines (</w:t>
      </w:r>
      <w:r w:rsidRPr="00DE48D7">
        <w:t>éducation, emploi, santé, logement) abordés par la stratégie nationale. Les principaux points</w:t>
      </w:r>
      <w:r w:rsidRPr="00AA21B5">
        <w:rPr>
          <w:lang w:val="fr-FR"/>
        </w:rPr>
        <w:t xml:space="preserve"> d’attention concernent le manque d’objectifs quantifiables et d’indicateurs afin de mesurer les effets des politiques annoncées. </w:t>
      </w:r>
    </w:p>
    <w:p w:rsidR="00F73A66" w:rsidRDefault="00F73A66" w:rsidP="00F73A66">
      <w:pPr>
        <w:autoSpaceDE w:val="0"/>
        <w:autoSpaceDN w:val="0"/>
        <w:adjustRightInd w:val="0"/>
        <w:spacing w:after="0" w:line="240" w:lineRule="auto"/>
        <w:jc w:val="both"/>
        <w:rPr>
          <w:rFonts w:cstheme="minorHAnsi"/>
          <w:lang w:val="fr-FR"/>
        </w:rPr>
      </w:pPr>
    </w:p>
    <w:p w:rsidR="00F73A66" w:rsidRPr="00F73A66" w:rsidRDefault="00F73A66" w:rsidP="00F73A66">
      <w:pPr>
        <w:autoSpaceDE w:val="0"/>
        <w:autoSpaceDN w:val="0"/>
        <w:adjustRightInd w:val="0"/>
        <w:spacing w:after="0" w:line="240" w:lineRule="auto"/>
        <w:jc w:val="both"/>
        <w:rPr>
          <w:rFonts w:cstheme="minorHAnsi"/>
          <w:lang w:val="fr-FR"/>
        </w:rPr>
      </w:pPr>
    </w:p>
    <w:p w:rsidR="002E4F7D" w:rsidRPr="00F73A66" w:rsidRDefault="004C34FD" w:rsidP="00051B18">
      <w:pPr>
        <w:pStyle w:val="Citationintense"/>
        <w:rPr>
          <w:rStyle w:val="Accentuation"/>
        </w:rPr>
      </w:pPr>
      <w:r w:rsidRPr="00F73A66">
        <w:rPr>
          <w:rStyle w:val="Accentuation"/>
        </w:rPr>
        <w:t>Le Centre demande que l</w:t>
      </w:r>
      <w:r w:rsidR="00A66CB5" w:rsidRPr="00F73A66">
        <w:rPr>
          <w:rStyle w:val="Accentuation"/>
        </w:rPr>
        <w:t xml:space="preserve">a stratégie nationale d’intégration des Roms </w:t>
      </w:r>
      <w:r w:rsidR="00375523" w:rsidRPr="00F73A66">
        <w:rPr>
          <w:rStyle w:val="Accentuation"/>
        </w:rPr>
        <w:t>soit,</w:t>
      </w:r>
      <w:r w:rsidR="00757057" w:rsidRPr="00F73A66">
        <w:rPr>
          <w:rStyle w:val="Accentuation"/>
        </w:rPr>
        <w:t xml:space="preserve"> pour chaque domaine qu’elle couvre, </w:t>
      </w:r>
      <w:r w:rsidR="00A66CB5" w:rsidRPr="00F73A66">
        <w:rPr>
          <w:rStyle w:val="Accentuation"/>
        </w:rPr>
        <w:t>complétée</w:t>
      </w:r>
      <w:r w:rsidR="002E4F7D" w:rsidRPr="00F73A66">
        <w:rPr>
          <w:rStyle w:val="Accentuation"/>
        </w:rPr>
        <w:t xml:space="preserve"> d’un véritable mécanisme d’évaluation basé sur des objectifs clairs et sur des indicateurs mesurables</w:t>
      </w:r>
      <w:r w:rsidR="00757057" w:rsidRPr="00F73A66">
        <w:rPr>
          <w:rStyle w:val="Accentuation"/>
        </w:rPr>
        <w:t xml:space="preserve">. </w:t>
      </w:r>
    </w:p>
    <w:p w:rsidR="00AA21B5" w:rsidRDefault="00AA21B5" w:rsidP="00AA21B5">
      <w:pPr>
        <w:autoSpaceDE w:val="0"/>
        <w:autoSpaceDN w:val="0"/>
        <w:adjustRightInd w:val="0"/>
        <w:spacing w:after="0" w:line="240" w:lineRule="auto"/>
        <w:jc w:val="both"/>
        <w:rPr>
          <w:rFonts w:cstheme="minorHAnsi"/>
          <w:lang w:val="fr-FR"/>
        </w:rPr>
      </w:pPr>
    </w:p>
    <w:p w:rsidR="00DD64CE" w:rsidRDefault="002E4F7D" w:rsidP="00EE0054">
      <w:pPr>
        <w:rPr>
          <w:lang w:val="fr-FR"/>
        </w:rPr>
      </w:pPr>
      <w:r w:rsidRPr="00AA21B5">
        <w:rPr>
          <w:lang w:val="fr-FR"/>
        </w:rPr>
        <w:t>Le Centre est disposé à apporter s</w:t>
      </w:r>
      <w:r w:rsidR="00A66CB5" w:rsidRPr="00AA21B5">
        <w:rPr>
          <w:lang w:val="fr-FR"/>
        </w:rPr>
        <w:t>on concours à cette évaluation.</w:t>
      </w:r>
    </w:p>
    <w:p w:rsidR="00F73A66" w:rsidRPr="00A608DB" w:rsidRDefault="00F73A66" w:rsidP="00AA21B5">
      <w:pPr>
        <w:pStyle w:val="Titre2"/>
        <w:rPr>
          <w:lang w:val="fr-FR"/>
        </w:rPr>
      </w:pPr>
      <w:bookmarkStart w:id="21" w:name="_Toc377028529"/>
      <w:bookmarkStart w:id="22" w:name="_Toc377030209"/>
    </w:p>
    <w:p w:rsidR="00926150" w:rsidRPr="00AA21B5" w:rsidRDefault="00C7249C" w:rsidP="00953B3E">
      <w:pPr>
        <w:pStyle w:val="Titre2"/>
        <w:ind w:left="0"/>
      </w:pPr>
      <w:r w:rsidRPr="00AA21B5">
        <w:t>Signes convictionnels et neutralité des services publics</w:t>
      </w:r>
      <w:bookmarkEnd w:id="21"/>
      <w:bookmarkEnd w:id="22"/>
    </w:p>
    <w:p w:rsidR="00B00354" w:rsidRPr="00AA21B5" w:rsidRDefault="00B00354" w:rsidP="00AA21B5">
      <w:pPr>
        <w:spacing w:after="0" w:line="240" w:lineRule="auto"/>
        <w:jc w:val="both"/>
        <w:rPr>
          <w:rFonts w:cstheme="minorHAnsi"/>
          <w:lang w:val="fr-FR"/>
        </w:rPr>
      </w:pPr>
    </w:p>
    <w:p w:rsidR="00C7249C" w:rsidRDefault="00C7249C" w:rsidP="00A608DB">
      <w:pPr>
        <w:spacing w:after="0"/>
        <w:jc w:val="both"/>
        <w:rPr>
          <w:lang w:val="fr-FR"/>
        </w:rPr>
      </w:pPr>
      <w:r w:rsidRPr="00AA21B5">
        <w:rPr>
          <w:lang w:val="fr-FR"/>
        </w:rPr>
        <w:t>La question des signes convictionnels dans la société en général et dans les services publics en particulier fait débat et polémique.</w:t>
      </w:r>
    </w:p>
    <w:p w:rsidR="00AA21B5" w:rsidRPr="00AA21B5" w:rsidRDefault="00AA21B5" w:rsidP="00A608DB">
      <w:pPr>
        <w:spacing w:after="0" w:line="240" w:lineRule="auto"/>
        <w:jc w:val="both"/>
        <w:rPr>
          <w:rFonts w:cstheme="minorHAnsi"/>
          <w:lang w:val="fr-FR"/>
        </w:rPr>
      </w:pPr>
    </w:p>
    <w:p w:rsidR="00C7249C" w:rsidRDefault="00C7249C" w:rsidP="00A608DB">
      <w:pPr>
        <w:spacing w:after="0"/>
        <w:jc w:val="both"/>
        <w:rPr>
          <w:lang w:val="fr-FR"/>
        </w:rPr>
      </w:pPr>
      <w:r w:rsidRPr="00AA21B5">
        <w:rPr>
          <w:lang w:val="fr-FR"/>
        </w:rPr>
        <w:t>Si tout le monde s’accorde pour dire que le service public doit être neutre, il faut encore faire le choix entre neutralité inclusive (tous les signes convictionnels pour autant que le service rendu au public soit neutre</w:t>
      </w:r>
      <w:r w:rsidR="008A28BB" w:rsidRPr="00AA21B5">
        <w:rPr>
          <w:lang w:val="fr-FR"/>
        </w:rPr>
        <w:t xml:space="preserve"> dans les actes</w:t>
      </w:r>
      <w:r w:rsidRPr="00AA21B5">
        <w:rPr>
          <w:lang w:val="fr-FR"/>
        </w:rPr>
        <w:t xml:space="preserve">) ou neutralité exclusive (aucun signe convictionnel n’est autorisé pour ne pas donner l’impression de </w:t>
      </w:r>
      <w:r w:rsidR="008A28BB" w:rsidRPr="00AA21B5">
        <w:rPr>
          <w:lang w:val="fr-FR"/>
        </w:rPr>
        <w:t>partialité)</w:t>
      </w:r>
      <w:r w:rsidRPr="00AA21B5">
        <w:rPr>
          <w:lang w:val="fr-FR"/>
        </w:rPr>
        <w:t>.</w:t>
      </w:r>
    </w:p>
    <w:p w:rsidR="00AA21B5" w:rsidRPr="00AA21B5" w:rsidRDefault="00AA21B5" w:rsidP="00A608DB">
      <w:pPr>
        <w:spacing w:after="0" w:line="240" w:lineRule="auto"/>
        <w:jc w:val="both"/>
        <w:rPr>
          <w:rFonts w:cstheme="minorHAnsi"/>
          <w:lang w:val="fr-FR"/>
        </w:rPr>
      </w:pPr>
    </w:p>
    <w:p w:rsidR="008A28BB" w:rsidRDefault="008A28BB" w:rsidP="00A608DB">
      <w:pPr>
        <w:spacing w:after="0"/>
        <w:jc w:val="both"/>
        <w:rPr>
          <w:lang w:val="fr-FR"/>
        </w:rPr>
      </w:pPr>
      <w:r w:rsidRPr="00AA21B5">
        <w:rPr>
          <w:lang w:val="fr-FR"/>
        </w:rPr>
        <w:t>Pour le moment chaque service public, de quelque niveau qu’il soit, est amené à se positionner de manière autonome allant de la neutralité inclusive revendiquée à une neutralité exclusive absolue avec différentes nuances entre ces deux pôles (ex : distinction front office</w:t>
      </w:r>
      <w:r w:rsidR="00CF3BCB">
        <w:rPr>
          <w:lang w:val="fr-FR"/>
        </w:rPr>
        <w:t>/</w:t>
      </w:r>
      <w:r w:rsidRPr="00AA21B5">
        <w:rPr>
          <w:lang w:val="fr-FR"/>
        </w:rPr>
        <w:t>back office, fonction d’autorité, uniforme, …</w:t>
      </w:r>
      <w:r w:rsidR="00CE5777" w:rsidRPr="00AA21B5">
        <w:rPr>
          <w:lang w:val="fr-FR"/>
        </w:rPr>
        <w:t>).</w:t>
      </w:r>
    </w:p>
    <w:p w:rsidR="00AA21B5" w:rsidRPr="00AA21B5" w:rsidRDefault="00AA21B5" w:rsidP="00AA21B5">
      <w:pPr>
        <w:spacing w:after="0" w:line="240" w:lineRule="auto"/>
        <w:jc w:val="both"/>
        <w:rPr>
          <w:rFonts w:cstheme="minorHAnsi"/>
          <w:lang w:val="fr-FR"/>
        </w:rPr>
      </w:pPr>
    </w:p>
    <w:p w:rsidR="00CE5777" w:rsidRPr="00AA21B5" w:rsidRDefault="00CE5777" w:rsidP="00AA21B5">
      <w:pPr>
        <w:spacing w:after="0" w:line="240" w:lineRule="auto"/>
        <w:jc w:val="both"/>
        <w:rPr>
          <w:rFonts w:cstheme="minorHAnsi"/>
          <w:lang w:val="fr-FR"/>
        </w:rPr>
      </w:pPr>
      <w:r w:rsidRPr="00AA21B5">
        <w:rPr>
          <w:rFonts w:cstheme="minorHAnsi"/>
          <w:lang w:val="fr-FR"/>
        </w:rPr>
        <w:t xml:space="preserve">Le Centre rappelle </w:t>
      </w:r>
      <w:r w:rsidR="00120A7B" w:rsidRPr="00AA21B5">
        <w:rPr>
          <w:rFonts w:cstheme="minorHAnsi"/>
          <w:lang w:val="fr-FR"/>
        </w:rPr>
        <w:t>les principes généraux</w:t>
      </w:r>
      <w:r w:rsidRPr="00AA21B5">
        <w:rPr>
          <w:rFonts w:cstheme="minorHAnsi"/>
          <w:lang w:val="fr-FR"/>
        </w:rPr>
        <w:t xml:space="preserve"> sur ces questions :</w:t>
      </w:r>
      <w:r w:rsidRPr="00AA21B5">
        <w:rPr>
          <w:rStyle w:val="Appelnotedebasdep"/>
          <w:rFonts w:cstheme="minorHAnsi"/>
          <w:lang w:val="fr-FR"/>
        </w:rPr>
        <w:footnoteReference w:id="2"/>
      </w:r>
    </w:p>
    <w:p w:rsidR="00CE5777" w:rsidRDefault="00CE5777" w:rsidP="00AA21B5">
      <w:pPr>
        <w:spacing w:after="0" w:line="240" w:lineRule="auto"/>
        <w:jc w:val="both"/>
        <w:rPr>
          <w:rFonts w:cstheme="minorHAnsi"/>
          <w:i/>
          <w:lang w:val="fr-FR"/>
        </w:rPr>
      </w:pPr>
      <w:r w:rsidRPr="00AA21B5">
        <w:rPr>
          <w:rFonts w:cstheme="minorHAnsi"/>
          <w:i/>
          <w:lang w:val="fr-FR"/>
        </w:rPr>
        <w:t>Le principe fondamental, c’est la liberté individuelle d’expression et la liberté d’exprimer et de manifester pacifiquement ses convictions.  Il est vrai aussi qu’aucune liberté, même fondamentale, n’est absolue. Elle peut donc faire l’objet de certaines limitations. Toutefois, ces éventuelles limitations doivent être soigneusement circonscrites et justifiées, et rester proportionnées.</w:t>
      </w:r>
    </w:p>
    <w:p w:rsidR="00EE0054" w:rsidRPr="00AA21B5" w:rsidRDefault="00EE0054" w:rsidP="00AA21B5">
      <w:pPr>
        <w:spacing w:after="0" w:line="240" w:lineRule="auto"/>
        <w:jc w:val="both"/>
        <w:rPr>
          <w:rFonts w:cstheme="minorHAnsi"/>
          <w:i/>
          <w:lang w:val="fr-FR"/>
        </w:rPr>
      </w:pPr>
    </w:p>
    <w:p w:rsidR="00CE5777" w:rsidRDefault="00CE5777" w:rsidP="00AA21B5">
      <w:pPr>
        <w:spacing w:after="0" w:line="240" w:lineRule="auto"/>
        <w:jc w:val="both"/>
        <w:rPr>
          <w:rFonts w:cstheme="minorHAnsi"/>
          <w:i/>
          <w:lang w:val="fr-FR"/>
        </w:rPr>
      </w:pPr>
      <w:r w:rsidRPr="00AA21B5">
        <w:rPr>
          <w:rFonts w:cstheme="minorHAnsi"/>
          <w:i/>
          <w:lang w:val="fr-FR"/>
        </w:rPr>
        <w:lastRenderedPageBreak/>
        <w:t>La diversité culturelle et le pluralisme des convictions et des croyances sont une richesse pour notre société. Il peut exister une tension créatrice entre l’expression de la diversité et la recherche d’un socle commun de normes. Le Centre estime qu’un interdit général concernant le port de signes convictionnels ne serait pas justifié.</w:t>
      </w:r>
    </w:p>
    <w:p w:rsidR="00AA21B5" w:rsidRPr="00AA21B5" w:rsidRDefault="00AA21B5" w:rsidP="00AA21B5">
      <w:pPr>
        <w:spacing w:after="0" w:line="240" w:lineRule="auto"/>
        <w:jc w:val="both"/>
        <w:rPr>
          <w:rFonts w:cstheme="minorHAnsi"/>
          <w:i/>
          <w:lang w:val="fr-FR"/>
        </w:rPr>
      </w:pPr>
    </w:p>
    <w:p w:rsidR="00F73A66" w:rsidRDefault="00CE5777" w:rsidP="00F73A66">
      <w:pPr>
        <w:spacing w:after="0" w:line="240" w:lineRule="auto"/>
        <w:jc w:val="both"/>
        <w:rPr>
          <w:rFonts w:cstheme="minorHAnsi"/>
          <w:i/>
          <w:lang w:val="fr-FR"/>
        </w:rPr>
      </w:pPr>
      <w:r w:rsidRPr="00AA21B5">
        <w:rPr>
          <w:rFonts w:cstheme="minorHAnsi"/>
          <w:i/>
          <w:lang w:val="fr-FR"/>
        </w:rPr>
        <w:t>L’harmonisation interculturelle et interconvictionnelle doit prendre, autant que possible, la voie de l’ajustement concerté.  La voie citoyenne, fondée sur la négociation et le compromis, est préférable à la voie judiciaire et à la voie législative (sans toutefois que ces deux voies soient à exclure a priori). Il existe dans la société belge un capital de bonne volonté et une tradition du compromis sur lesquels les différents acteurs peuvent s’appuyer pour arriver à un ajustement concerté en matière de signes convictionnels. Le Centre fait des recommandations claires pour réaliser un tel ajustement concerté : respect des libertés fondamentales, dialogue, transparence, proportionnalité.</w:t>
      </w:r>
    </w:p>
    <w:p w:rsidR="00EE0054" w:rsidRDefault="00EE0054" w:rsidP="00F73A66">
      <w:pPr>
        <w:spacing w:after="0" w:line="240" w:lineRule="auto"/>
        <w:jc w:val="both"/>
        <w:rPr>
          <w:rFonts w:cstheme="minorHAnsi"/>
          <w:i/>
          <w:lang w:val="fr-FR"/>
        </w:rPr>
      </w:pPr>
    </w:p>
    <w:p w:rsidR="00F73A66" w:rsidRPr="00F73A66" w:rsidRDefault="00F73A66" w:rsidP="00051B18">
      <w:pPr>
        <w:spacing w:after="0" w:line="240" w:lineRule="auto"/>
        <w:jc w:val="both"/>
        <w:rPr>
          <w:rFonts w:cstheme="minorHAnsi"/>
          <w:i/>
          <w:lang w:val="fr-FR"/>
        </w:rPr>
      </w:pPr>
    </w:p>
    <w:p w:rsidR="00120A7B" w:rsidRPr="00F73A66" w:rsidRDefault="00120A7B" w:rsidP="00051B18">
      <w:pPr>
        <w:pStyle w:val="Citationintense"/>
        <w:tabs>
          <w:tab w:val="clear" w:pos="1560"/>
          <w:tab w:val="clear" w:pos="1843"/>
          <w:tab w:val="clear" w:pos="2835"/>
        </w:tabs>
        <w:ind w:left="2160"/>
        <w:rPr>
          <w:rStyle w:val="Accentuation"/>
        </w:rPr>
      </w:pPr>
      <w:r w:rsidRPr="00F73A66">
        <w:rPr>
          <w:rStyle w:val="Accentuation"/>
        </w:rPr>
        <w:t xml:space="preserve">Le Centre </w:t>
      </w:r>
      <w:r w:rsidR="0080243A" w:rsidRPr="00F73A66">
        <w:rPr>
          <w:rStyle w:val="Accentuation"/>
        </w:rPr>
        <w:t xml:space="preserve">recommande à </w:t>
      </w:r>
      <w:r w:rsidRPr="00F73A66">
        <w:rPr>
          <w:rStyle w:val="Accentuation"/>
        </w:rPr>
        <w:t xml:space="preserve">chaque entité politique de notre pays </w:t>
      </w:r>
      <w:r w:rsidR="0080243A" w:rsidRPr="00F73A66">
        <w:rPr>
          <w:rStyle w:val="Accentuation"/>
        </w:rPr>
        <w:t>d’</w:t>
      </w:r>
      <w:r w:rsidRPr="00F73A66">
        <w:rPr>
          <w:rStyle w:val="Accentuation"/>
        </w:rPr>
        <w:t xml:space="preserve">entamer un processus de réflexion sur la question des  signes convictionnels en rapport avec l’exigence de neutralité, afin d’aboutir à </w:t>
      </w:r>
      <w:r w:rsidR="004C34FD" w:rsidRPr="00F73A66">
        <w:rPr>
          <w:rStyle w:val="Accentuation"/>
        </w:rPr>
        <w:t xml:space="preserve">une </w:t>
      </w:r>
      <w:r w:rsidRPr="00F73A66">
        <w:rPr>
          <w:rStyle w:val="Accentuation"/>
        </w:rPr>
        <w:t xml:space="preserve"> situation normative </w:t>
      </w:r>
      <w:r w:rsidR="00CF3BCB">
        <w:rPr>
          <w:rStyle w:val="Accentuation"/>
        </w:rPr>
        <w:t>la</w:t>
      </w:r>
      <w:r w:rsidRPr="00F73A66">
        <w:rPr>
          <w:rStyle w:val="Accentuation"/>
        </w:rPr>
        <w:t xml:space="preserve"> plus claire</w:t>
      </w:r>
      <w:r w:rsidR="00CF3BCB">
        <w:rPr>
          <w:rStyle w:val="Accentuation"/>
        </w:rPr>
        <w:t xml:space="preserve"> possible</w:t>
      </w:r>
      <w:r w:rsidRPr="00F73A66">
        <w:rPr>
          <w:rStyle w:val="Accentuation"/>
        </w:rPr>
        <w:t xml:space="preserve">. </w:t>
      </w:r>
    </w:p>
    <w:p w:rsidR="0080243A" w:rsidRPr="00F73A66" w:rsidRDefault="0080243A" w:rsidP="00051B18">
      <w:pPr>
        <w:pStyle w:val="Citationintense"/>
        <w:tabs>
          <w:tab w:val="clear" w:pos="1560"/>
          <w:tab w:val="clear" w:pos="1843"/>
          <w:tab w:val="clear" w:pos="2835"/>
        </w:tabs>
        <w:ind w:left="2160"/>
        <w:rPr>
          <w:rStyle w:val="Accentuation"/>
        </w:rPr>
      </w:pPr>
      <w:r w:rsidRPr="00F73A66">
        <w:rPr>
          <w:rStyle w:val="Accentuation"/>
        </w:rPr>
        <w:t>Il rappelle que, dans le secteur public, le principe de base doit rester celui de la liberté d’expression individuelle et de manifestation de ses convictions.  </w:t>
      </w:r>
    </w:p>
    <w:p w:rsidR="008D3C20" w:rsidRDefault="00120A7B" w:rsidP="00051B18">
      <w:pPr>
        <w:pStyle w:val="Citationintense"/>
        <w:tabs>
          <w:tab w:val="clear" w:pos="1560"/>
          <w:tab w:val="clear" w:pos="1843"/>
          <w:tab w:val="clear" w:pos="2835"/>
        </w:tabs>
        <w:ind w:left="2160"/>
        <w:rPr>
          <w:rStyle w:val="Accentuation"/>
        </w:rPr>
      </w:pPr>
      <w:r w:rsidRPr="00F73A66">
        <w:rPr>
          <w:rStyle w:val="Accentuation"/>
        </w:rPr>
        <w:t>Si le législateur et/ou les services publics envisagent de réglementer</w:t>
      </w:r>
      <w:r w:rsidR="00757057" w:rsidRPr="00F73A66">
        <w:rPr>
          <w:rStyle w:val="Accentuation"/>
        </w:rPr>
        <w:t xml:space="preserve"> sur l</w:t>
      </w:r>
      <w:r w:rsidRPr="00F73A66">
        <w:rPr>
          <w:rStyle w:val="Accentuation"/>
        </w:rPr>
        <w:t>es signes convictionnels </w:t>
      </w:r>
      <w:r w:rsidRPr="00D629D0">
        <w:rPr>
          <w:rStyle w:val="Accentuation"/>
        </w:rPr>
        <w:t>au</w:t>
      </w:r>
      <w:r w:rsidRPr="00F73A66">
        <w:rPr>
          <w:rStyle w:val="Accentuation"/>
        </w:rPr>
        <w:t xml:space="preserve"> nom de la neutralité, le Centre préconise les principes d’harmonisation suivants</w:t>
      </w:r>
      <w:r w:rsidR="004C34FD" w:rsidRPr="00F73A66">
        <w:rPr>
          <w:rStyle w:val="Accentuation"/>
        </w:rPr>
        <w:t> :</w:t>
      </w:r>
    </w:p>
    <w:p w:rsidR="00D044DB" w:rsidRPr="00D629D0" w:rsidRDefault="00120A7B" w:rsidP="00051B18">
      <w:pPr>
        <w:pStyle w:val="Citationintense"/>
        <w:numPr>
          <w:ilvl w:val="0"/>
          <w:numId w:val="33"/>
        </w:numPr>
        <w:tabs>
          <w:tab w:val="clear" w:pos="1560"/>
          <w:tab w:val="clear" w:pos="1843"/>
          <w:tab w:val="clear" w:pos="2835"/>
        </w:tabs>
        <w:ind w:left="2160" w:firstLine="0"/>
        <w:rPr>
          <w:rStyle w:val="Accentuation"/>
        </w:rPr>
      </w:pPr>
      <w:r w:rsidRPr="00D629D0">
        <w:rPr>
          <w:rStyle w:val="Accentuation"/>
        </w:rPr>
        <w:t>le principe de concertation à chaque étape du processus de décision</w:t>
      </w:r>
      <w:r w:rsidR="00757057" w:rsidRPr="00D629D0">
        <w:rPr>
          <w:rStyle w:val="Accentuation"/>
        </w:rPr>
        <w:t> ;</w:t>
      </w:r>
    </w:p>
    <w:p w:rsidR="00D044DB" w:rsidRPr="00D629D0" w:rsidRDefault="00120A7B" w:rsidP="00051B18">
      <w:pPr>
        <w:pStyle w:val="Citationintense"/>
        <w:numPr>
          <w:ilvl w:val="0"/>
          <w:numId w:val="33"/>
        </w:numPr>
        <w:tabs>
          <w:tab w:val="clear" w:pos="1560"/>
          <w:tab w:val="clear" w:pos="1843"/>
          <w:tab w:val="clear" w:pos="2835"/>
        </w:tabs>
        <w:ind w:left="2160" w:firstLine="0"/>
        <w:rPr>
          <w:rStyle w:val="Accentuation"/>
        </w:rPr>
      </w:pPr>
      <w:r w:rsidRPr="00D629D0">
        <w:rPr>
          <w:rStyle w:val="Accentuation"/>
        </w:rPr>
        <w:t>le principe de nécessité d’une éventuelle interdiction (“l’interdiction est-elle vraiment nécessaire?”)</w:t>
      </w:r>
      <w:r w:rsidR="00757057" w:rsidRPr="00D629D0">
        <w:rPr>
          <w:rStyle w:val="Accentuation"/>
        </w:rPr>
        <w:t> ;</w:t>
      </w:r>
    </w:p>
    <w:p w:rsidR="00D044DB" w:rsidRPr="00D629D0" w:rsidRDefault="00120A7B" w:rsidP="00051B18">
      <w:pPr>
        <w:pStyle w:val="Citationintense"/>
        <w:numPr>
          <w:ilvl w:val="0"/>
          <w:numId w:val="33"/>
        </w:numPr>
        <w:tabs>
          <w:tab w:val="clear" w:pos="1560"/>
          <w:tab w:val="clear" w:pos="1843"/>
          <w:tab w:val="clear" w:pos="2835"/>
        </w:tabs>
        <w:ind w:left="2160" w:firstLine="0"/>
        <w:rPr>
          <w:rStyle w:val="Accentuation"/>
        </w:rPr>
      </w:pPr>
      <w:r w:rsidRPr="00D629D0">
        <w:rPr>
          <w:rStyle w:val="Accentuation"/>
        </w:rPr>
        <w:t>le principe d’une éventuelle proportionnalité de l’interdiction : le débat pourrait éventuellement porter sur  les catégories d’agents de l’Etat concernés par une interdiction : tous les agents (</w:t>
      </w:r>
      <w:r w:rsidR="00757057" w:rsidRPr="00D629D0">
        <w:rPr>
          <w:rStyle w:val="Accentuation"/>
        </w:rPr>
        <w:t xml:space="preserve">cfr. la </w:t>
      </w:r>
      <w:r w:rsidRPr="00D629D0">
        <w:rPr>
          <w:rStyle w:val="Accentuation"/>
        </w:rPr>
        <w:t xml:space="preserve"> France), les agents assurant une fonction de « guichet » avec le public ; les agents exerçant une autorité sur le public, etc.</w:t>
      </w:r>
      <w:r w:rsidR="00757057" w:rsidRPr="00D629D0">
        <w:rPr>
          <w:rStyle w:val="Accentuation"/>
        </w:rPr>
        <w:t> ;</w:t>
      </w:r>
    </w:p>
    <w:p w:rsidR="00AA21B5" w:rsidRPr="00F73A66" w:rsidRDefault="00120A7B" w:rsidP="00051B18">
      <w:pPr>
        <w:pStyle w:val="Citationintense"/>
        <w:numPr>
          <w:ilvl w:val="0"/>
          <w:numId w:val="33"/>
        </w:numPr>
        <w:tabs>
          <w:tab w:val="clear" w:pos="1560"/>
          <w:tab w:val="clear" w:pos="1843"/>
          <w:tab w:val="clear" w:pos="2835"/>
        </w:tabs>
        <w:ind w:left="2160" w:firstLine="0"/>
        <w:rPr>
          <w:rStyle w:val="Accentuation"/>
        </w:rPr>
      </w:pPr>
      <w:r w:rsidRPr="00D629D0">
        <w:rPr>
          <w:rStyle w:val="Accentuation"/>
        </w:rPr>
        <w:t>le principe de transparence envers les agents de l’Etat et de motivation de la réglementation</w:t>
      </w:r>
    </w:p>
    <w:p w:rsidR="00F73A66" w:rsidRDefault="00F73A66" w:rsidP="00AA21B5">
      <w:pPr>
        <w:spacing w:after="0" w:line="240" w:lineRule="auto"/>
        <w:jc w:val="both"/>
        <w:rPr>
          <w:rFonts w:cstheme="minorHAnsi"/>
          <w:lang w:val="fr-FR"/>
        </w:rPr>
      </w:pPr>
    </w:p>
    <w:p w:rsidR="008A28BB" w:rsidRDefault="00CE5777" w:rsidP="00DE48D7">
      <w:pPr>
        <w:jc w:val="both"/>
        <w:rPr>
          <w:lang w:val="fr-FR"/>
        </w:rPr>
      </w:pPr>
      <w:r w:rsidRPr="00AA21B5">
        <w:rPr>
          <w:lang w:val="fr-FR"/>
        </w:rPr>
        <w:t xml:space="preserve">A travers les signalements et les dossiers que le Centre est amené à traiter, le Centre regrette que cette approche </w:t>
      </w:r>
      <w:r w:rsidR="00120A7B" w:rsidRPr="00AA21B5">
        <w:rPr>
          <w:lang w:val="fr-FR"/>
        </w:rPr>
        <w:t>de concertation ne soit</w:t>
      </w:r>
      <w:r w:rsidRPr="00AA21B5">
        <w:rPr>
          <w:lang w:val="fr-FR"/>
        </w:rPr>
        <w:t xml:space="preserve"> pas suffisamment prise en compte. La tendance générale semble aller vers le choix d’une neutralité exclusive et</w:t>
      </w:r>
      <w:r w:rsidR="007D4242" w:rsidRPr="00AA21B5">
        <w:rPr>
          <w:lang w:val="fr-FR"/>
        </w:rPr>
        <w:t xml:space="preserve"> </w:t>
      </w:r>
      <w:r w:rsidR="00375523" w:rsidRPr="00AA21B5">
        <w:rPr>
          <w:lang w:val="fr-FR"/>
        </w:rPr>
        <w:t>d’une</w:t>
      </w:r>
      <w:r w:rsidRPr="00AA21B5">
        <w:rPr>
          <w:lang w:val="fr-FR"/>
        </w:rPr>
        <w:t xml:space="preserve"> application particulièrement </w:t>
      </w:r>
      <w:r w:rsidRPr="00AA21B5">
        <w:rPr>
          <w:lang w:val="fr-FR"/>
        </w:rPr>
        <w:lastRenderedPageBreak/>
        <w:t>stricte et rigoureuse</w:t>
      </w:r>
      <w:r w:rsidR="00014ED0" w:rsidRPr="00AA21B5">
        <w:rPr>
          <w:lang w:val="fr-FR"/>
        </w:rPr>
        <w:t xml:space="preserve"> de ce principe. Cela mène, selon le Centre, à des limitations ou des interdictions disproportionnées, arbitraires et discriminatoires que le concept de neutralité exclusive ne peut justifier.</w:t>
      </w:r>
    </w:p>
    <w:p w:rsidR="00776866" w:rsidRDefault="00776866" w:rsidP="00DE48D7">
      <w:pPr>
        <w:jc w:val="both"/>
        <w:rPr>
          <w:lang w:val="fr-FR"/>
        </w:rPr>
      </w:pPr>
      <w:r w:rsidRPr="00AA21B5">
        <w:rPr>
          <w:lang w:val="fr-FR"/>
        </w:rPr>
        <w:t>Entamer un processus de concertation peut mener à faire le choix de la neutralité active ou passive</w:t>
      </w:r>
      <w:r w:rsidR="007D4242" w:rsidRPr="00AA21B5">
        <w:rPr>
          <w:lang w:val="fr-FR"/>
        </w:rPr>
        <w:t>. I</w:t>
      </w:r>
      <w:r w:rsidRPr="00AA21B5">
        <w:rPr>
          <w:lang w:val="fr-FR"/>
        </w:rPr>
        <w:t>l conviendra</w:t>
      </w:r>
      <w:r w:rsidR="007D4242" w:rsidRPr="00AA21B5">
        <w:rPr>
          <w:lang w:val="fr-FR"/>
        </w:rPr>
        <w:t>, qu’importe le choix,</w:t>
      </w:r>
      <w:r w:rsidRPr="00AA21B5">
        <w:rPr>
          <w:lang w:val="fr-FR"/>
        </w:rPr>
        <w:t xml:space="preserve"> de veiller à l’équilibre et à la proportionnalité de la mesure </w:t>
      </w:r>
      <w:r w:rsidR="007D4242" w:rsidRPr="00AA21B5">
        <w:rPr>
          <w:lang w:val="fr-FR"/>
        </w:rPr>
        <w:t>car</w:t>
      </w:r>
      <w:r w:rsidR="00CF3BCB">
        <w:rPr>
          <w:lang w:val="fr-FR"/>
        </w:rPr>
        <w:t>,</w:t>
      </w:r>
      <w:r w:rsidR="007D4242" w:rsidRPr="00AA21B5">
        <w:rPr>
          <w:lang w:val="fr-FR"/>
        </w:rPr>
        <w:t xml:space="preserve"> </w:t>
      </w:r>
      <w:r w:rsidRPr="00AA21B5">
        <w:rPr>
          <w:lang w:val="fr-FR"/>
        </w:rPr>
        <w:t>dans les deux options</w:t>
      </w:r>
      <w:r w:rsidR="00CF3BCB">
        <w:rPr>
          <w:lang w:val="fr-FR"/>
        </w:rPr>
        <w:t>,</w:t>
      </w:r>
      <w:r w:rsidRPr="00AA21B5">
        <w:rPr>
          <w:lang w:val="fr-FR"/>
        </w:rPr>
        <w:t xml:space="preserve"> une conception trop radicale </w:t>
      </w:r>
      <w:r w:rsidR="007D4242" w:rsidRPr="00AA21B5">
        <w:rPr>
          <w:lang w:val="fr-FR"/>
        </w:rPr>
        <w:t xml:space="preserve">peut </w:t>
      </w:r>
      <w:r w:rsidRPr="00AA21B5">
        <w:rPr>
          <w:lang w:val="fr-FR"/>
        </w:rPr>
        <w:t>mener à des formes de discrimination et/ou d’abus.</w:t>
      </w:r>
    </w:p>
    <w:p w:rsidR="00776866" w:rsidRPr="00AA21B5" w:rsidRDefault="00014ED0" w:rsidP="00DE48D7">
      <w:pPr>
        <w:jc w:val="both"/>
        <w:rPr>
          <w:lang w:val="fr-FR"/>
        </w:rPr>
      </w:pPr>
      <w:r w:rsidRPr="00AA21B5">
        <w:rPr>
          <w:lang w:val="fr-FR"/>
        </w:rPr>
        <w:t xml:space="preserve">Par ailleurs, </w:t>
      </w:r>
      <w:r w:rsidR="00776866" w:rsidRPr="00AA21B5">
        <w:rPr>
          <w:lang w:val="fr-FR"/>
        </w:rPr>
        <w:t>les pouvoirs publics doivent être conscients que ce débat, légitime en ce qui les concerne,</w:t>
      </w:r>
      <w:r w:rsidR="007D4242" w:rsidRPr="00AA21B5">
        <w:rPr>
          <w:lang w:val="fr-FR"/>
        </w:rPr>
        <w:t xml:space="preserve"> peut avoir </w:t>
      </w:r>
      <w:r w:rsidR="00776866" w:rsidRPr="00AA21B5">
        <w:rPr>
          <w:lang w:val="fr-FR"/>
        </w:rPr>
        <w:t xml:space="preserve">un impact </w:t>
      </w:r>
      <w:r w:rsidR="00501558" w:rsidRPr="00AA21B5">
        <w:rPr>
          <w:lang w:val="fr-FR"/>
        </w:rPr>
        <w:t xml:space="preserve">dans d’autres secteurs (emploi </w:t>
      </w:r>
      <w:r w:rsidR="00776866" w:rsidRPr="00AA21B5">
        <w:rPr>
          <w:lang w:val="fr-FR"/>
        </w:rPr>
        <w:t>privé, logement, loisirs, HORECA  …)</w:t>
      </w:r>
      <w:r w:rsidR="007D4242" w:rsidRPr="00AA21B5">
        <w:rPr>
          <w:lang w:val="fr-FR"/>
        </w:rPr>
        <w:t xml:space="preserve"> </w:t>
      </w:r>
      <w:r w:rsidR="003E0AEA" w:rsidRPr="00AA21B5">
        <w:rPr>
          <w:lang w:val="fr-FR"/>
        </w:rPr>
        <w:t>et que</w:t>
      </w:r>
      <w:r w:rsidR="00776866" w:rsidRPr="00AA21B5">
        <w:rPr>
          <w:lang w:val="fr-FR"/>
        </w:rPr>
        <w:t xml:space="preserve"> le concept de neutralité relève exclusivement des services publics.</w:t>
      </w:r>
    </w:p>
    <w:p w:rsidR="00B00354" w:rsidRPr="00AA21B5" w:rsidRDefault="00B00354" w:rsidP="00AA21B5">
      <w:pPr>
        <w:spacing w:after="0" w:line="240" w:lineRule="auto"/>
        <w:jc w:val="both"/>
        <w:rPr>
          <w:rFonts w:cstheme="minorHAnsi"/>
          <w:lang w:val="fr-FR"/>
        </w:rPr>
      </w:pPr>
    </w:p>
    <w:p w:rsidR="00926150" w:rsidRPr="00CD5242" w:rsidRDefault="00926150" w:rsidP="00953B3E">
      <w:pPr>
        <w:pStyle w:val="Titre2"/>
        <w:ind w:left="0"/>
      </w:pPr>
      <w:bookmarkStart w:id="23" w:name="_Toc377028530"/>
      <w:bookmarkStart w:id="24" w:name="_Toc377030210"/>
      <w:r w:rsidRPr="00CD5242">
        <w:t>Handicap</w:t>
      </w:r>
      <w:bookmarkEnd w:id="23"/>
      <w:bookmarkEnd w:id="24"/>
    </w:p>
    <w:p w:rsidR="00B00354" w:rsidRPr="00AA21B5" w:rsidRDefault="00B00354" w:rsidP="00AA21B5">
      <w:pPr>
        <w:spacing w:after="0" w:line="240" w:lineRule="auto"/>
        <w:jc w:val="both"/>
        <w:rPr>
          <w:rFonts w:cstheme="minorHAnsi"/>
          <w:lang w:val="fr-FR"/>
        </w:rPr>
      </w:pPr>
    </w:p>
    <w:p w:rsidR="00D17B63" w:rsidRDefault="00D17B63" w:rsidP="00DE48D7">
      <w:pPr>
        <w:jc w:val="both"/>
        <w:rPr>
          <w:lang w:val="fr-FR"/>
        </w:rPr>
      </w:pPr>
      <w:r w:rsidRPr="00AA21B5">
        <w:rPr>
          <w:lang w:val="fr-FR"/>
        </w:rPr>
        <w:t>Depuis 2011, l’Etat fédéral et l’ensemble des entités fédérées ont confié au Centre  le mandat de mécanisme indépendant pour la Convention des Nations Unies relative aux droits des personnes handicapées</w:t>
      </w:r>
      <w:r w:rsidR="007C7B85" w:rsidRPr="00AA21B5">
        <w:rPr>
          <w:lang w:val="fr-FR"/>
        </w:rPr>
        <w:t xml:space="preserve"> (CDPH)</w:t>
      </w:r>
      <w:r w:rsidRPr="00AA21B5">
        <w:rPr>
          <w:lang w:val="fr-FR"/>
        </w:rPr>
        <w:t>.</w:t>
      </w:r>
    </w:p>
    <w:p w:rsidR="00D17B63" w:rsidRDefault="00D17B63" w:rsidP="00DE48D7">
      <w:pPr>
        <w:jc w:val="both"/>
        <w:rPr>
          <w:lang w:val="fr-FR"/>
        </w:rPr>
      </w:pPr>
      <w:r w:rsidRPr="00AA21B5">
        <w:rPr>
          <w:lang w:val="fr-FR"/>
        </w:rPr>
        <w:t xml:space="preserve">Le Centre est donc amené à promouvoir la CDPH auprès des acteurs concernés et à fournir en toute indépendance des conseils et un accompagnement (parfois d’ordre juridique) aux personnes </w:t>
      </w:r>
      <w:r w:rsidR="00D943F4" w:rsidRPr="00AA21B5">
        <w:rPr>
          <w:lang w:val="fr-FR"/>
        </w:rPr>
        <w:t xml:space="preserve">en situation de handicap </w:t>
      </w:r>
      <w:r w:rsidRPr="00AA21B5">
        <w:rPr>
          <w:lang w:val="fr-FR"/>
        </w:rPr>
        <w:t xml:space="preserve">estimant que leurs droits n’ont pas été respectés. Le Centre assure également une mission de </w:t>
      </w:r>
      <w:r w:rsidRPr="00AA21B5">
        <w:rPr>
          <w:i/>
          <w:lang w:val="fr-FR"/>
        </w:rPr>
        <w:t xml:space="preserve">monitoring </w:t>
      </w:r>
      <w:r w:rsidRPr="00AA21B5">
        <w:rPr>
          <w:lang w:val="fr-FR"/>
        </w:rPr>
        <w:t>en veillant à la mise en œuvre effective des principes et droits garantis par la CDPH.</w:t>
      </w:r>
    </w:p>
    <w:p w:rsidR="009469EE" w:rsidRDefault="009469EE" w:rsidP="00DE48D7">
      <w:pPr>
        <w:jc w:val="both"/>
        <w:rPr>
          <w:lang w:val="fr-FR"/>
        </w:rPr>
      </w:pPr>
    </w:p>
    <w:p w:rsidR="00D17B63" w:rsidRPr="00CD5242" w:rsidRDefault="00D17B63" w:rsidP="00CD5242">
      <w:pPr>
        <w:pStyle w:val="Titre3"/>
      </w:pPr>
      <w:bookmarkStart w:id="25" w:name="_Toc377028531"/>
      <w:bookmarkStart w:id="26" w:name="_Toc377030211"/>
      <w:proofErr w:type="spellStart"/>
      <w:r w:rsidRPr="00CD5242">
        <w:t>Handistreaming</w:t>
      </w:r>
      <w:bookmarkEnd w:id="25"/>
      <w:bookmarkEnd w:id="26"/>
      <w:proofErr w:type="spellEnd"/>
    </w:p>
    <w:p w:rsidR="009469EE" w:rsidRDefault="009469EE" w:rsidP="00DE48D7">
      <w:pPr>
        <w:jc w:val="both"/>
        <w:rPr>
          <w:rFonts w:eastAsia="SimSun"/>
          <w:lang w:val="fr-FR"/>
        </w:rPr>
      </w:pPr>
    </w:p>
    <w:p w:rsidR="00CD5242" w:rsidRDefault="000B5739" w:rsidP="00DE48D7">
      <w:pPr>
        <w:jc w:val="both"/>
        <w:rPr>
          <w:rFonts w:eastAsia="SimSun"/>
          <w:lang w:val="fr-FR"/>
        </w:rPr>
      </w:pPr>
      <w:r w:rsidRPr="00AA21B5">
        <w:rPr>
          <w:rFonts w:eastAsia="SimSun"/>
          <w:lang w:val="fr-FR"/>
        </w:rPr>
        <w:t>C</w:t>
      </w:r>
      <w:r w:rsidR="00D17B63" w:rsidRPr="00AA21B5">
        <w:rPr>
          <w:rFonts w:eastAsia="SimSun"/>
          <w:lang w:val="fr-FR"/>
        </w:rPr>
        <w:t>onformément au prescrit</w:t>
      </w:r>
      <w:r w:rsidRPr="00AA21B5">
        <w:rPr>
          <w:rFonts w:eastAsia="SimSun"/>
          <w:lang w:val="fr-FR"/>
        </w:rPr>
        <w:t xml:space="preserve"> de la CDPH, chaque </w:t>
      </w:r>
      <w:r w:rsidR="009469EE">
        <w:rPr>
          <w:rFonts w:eastAsia="SimSun"/>
          <w:lang w:val="fr-FR"/>
        </w:rPr>
        <w:t>E</w:t>
      </w:r>
      <w:r w:rsidRPr="00AA21B5">
        <w:rPr>
          <w:rFonts w:eastAsia="SimSun"/>
          <w:lang w:val="fr-FR"/>
        </w:rPr>
        <w:t>tat signataire doit garantir le respect des droits des personnes handicapées.</w:t>
      </w:r>
    </w:p>
    <w:p w:rsidR="00E81429" w:rsidRPr="00E81429" w:rsidRDefault="00E81429" w:rsidP="00E81429">
      <w:pPr>
        <w:spacing w:after="0" w:line="240" w:lineRule="auto"/>
        <w:jc w:val="both"/>
        <w:rPr>
          <w:rFonts w:eastAsia="SimSun" w:cstheme="minorHAnsi"/>
          <w:lang w:val="fr-FR"/>
        </w:rPr>
      </w:pPr>
    </w:p>
    <w:p w:rsidR="00CD5242" w:rsidRPr="00E81429" w:rsidRDefault="004C34FD" w:rsidP="00051B18">
      <w:pPr>
        <w:pStyle w:val="Citationintense"/>
      </w:pPr>
      <w:r w:rsidRPr="00E81429">
        <w:rPr>
          <w:rStyle w:val="Accentuation"/>
        </w:rPr>
        <w:t>Le Centre estime que le</w:t>
      </w:r>
      <w:r w:rsidR="000B5739" w:rsidRPr="00E81429">
        <w:rPr>
          <w:rStyle w:val="Accentuation"/>
        </w:rPr>
        <w:t xml:space="preserve"> </w:t>
      </w:r>
      <w:r w:rsidR="009469EE">
        <w:rPr>
          <w:rStyle w:val="Accentuation"/>
        </w:rPr>
        <w:t>g</w:t>
      </w:r>
      <w:r w:rsidR="000B5739" w:rsidRPr="00E81429">
        <w:rPr>
          <w:rStyle w:val="Accentuation"/>
        </w:rPr>
        <w:t>ouvernement doit</w:t>
      </w:r>
      <w:r w:rsidRPr="00E81429">
        <w:rPr>
          <w:rStyle w:val="Accentuation"/>
        </w:rPr>
        <w:t>,</w:t>
      </w:r>
      <w:r w:rsidR="007C7B85" w:rsidRPr="00E81429">
        <w:rPr>
          <w:rStyle w:val="Accentuation"/>
        </w:rPr>
        <w:t xml:space="preserve"> d’une part,</w:t>
      </w:r>
      <w:r w:rsidR="000B5739" w:rsidRPr="00E81429">
        <w:rPr>
          <w:rStyle w:val="Accentuation"/>
        </w:rPr>
        <w:t xml:space="preserve"> veiller à assurer l’intégration de la dimension « handicap » dans tous les domaines d’activités de la société et des politiques publiques </w:t>
      </w:r>
      <w:r w:rsidR="007C7B85" w:rsidRPr="00E81429">
        <w:rPr>
          <w:rStyle w:val="Accentuation"/>
        </w:rPr>
        <w:t>et</w:t>
      </w:r>
      <w:r w:rsidRPr="00E81429">
        <w:rPr>
          <w:rStyle w:val="Accentuation"/>
        </w:rPr>
        <w:t>,</w:t>
      </w:r>
      <w:r w:rsidR="007C7B85" w:rsidRPr="00E81429">
        <w:rPr>
          <w:rStyle w:val="Accentuation"/>
        </w:rPr>
        <w:t xml:space="preserve"> d’autre part, </w:t>
      </w:r>
      <w:r w:rsidR="000B5739" w:rsidRPr="00E81429">
        <w:rPr>
          <w:rStyle w:val="Accentuation"/>
        </w:rPr>
        <w:t xml:space="preserve">mettre en œuvre une politique coordonnée et cohérente en la matière. </w:t>
      </w:r>
      <w:r w:rsidR="007C7B85" w:rsidRPr="00E81429">
        <w:rPr>
          <w:rStyle w:val="Accentuation"/>
        </w:rPr>
        <w:t xml:space="preserve">Il s’agit du </w:t>
      </w:r>
      <w:r w:rsidR="000B5739" w:rsidRPr="00E81429">
        <w:rPr>
          <w:rStyle w:val="Accentuation"/>
        </w:rPr>
        <w:t xml:space="preserve">concept de </w:t>
      </w:r>
      <w:proofErr w:type="spellStart"/>
      <w:r w:rsidR="000B5739" w:rsidRPr="00E81429">
        <w:rPr>
          <w:rStyle w:val="Accentuation"/>
        </w:rPr>
        <w:t>handistreaming</w:t>
      </w:r>
      <w:proofErr w:type="spellEnd"/>
      <w:r w:rsidR="000B5739" w:rsidRPr="00E81429">
        <w:rPr>
          <w:rStyle w:val="Accentuation"/>
        </w:rPr>
        <w:t>.</w:t>
      </w:r>
    </w:p>
    <w:p w:rsidR="00CD5242" w:rsidRDefault="00CD5242" w:rsidP="00AA21B5">
      <w:pPr>
        <w:spacing w:after="0" w:line="240" w:lineRule="auto"/>
        <w:jc w:val="both"/>
        <w:rPr>
          <w:rFonts w:eastAsia="SimSun" w:cstheme="minorHAnsi"/>
          <w:lang w:val="fr-FR"/>
        </w:rPr>
      </w:pPr>
    </w:p>
    <w:p w:rsidR="000B5739" w:rsidRDefault="007C7B85" w:rsidP="00DE48D7">
      <w:pPr>
        <w:jc w:val="both"/>
        <w:rPr>
          <w:rFonts w:eastAsia="SimSun"/>
          <w:lang w:val="fr-FR"/>
        </w:rPr>
      </w:pPr>
      <w:r w:rsidRPr="00AA21B5">
        <w:rPr>
          <w:rFonts w:eastAsia="SimSun"/>
          <w:lang w:val="fr-FR"/>
        </w:rPr>
        <w:t>P</w:t>
      </w:r>
      <w:r w:rsidR="000B5739" w:rsidRPr="00AA21B5">
        <w:rPr>
          <w:rFonts w:eastAsia="SimSun"/>
          <w:lang w:val="fr-FR"/>
        </w:rPr>
        <w:t>our atteindre cet objectif,</w:t>
      </w:r>
      <w:r w:rsidRPr="00AA21B5">
        <w:rPr>
          <w:rFonts w:eastAsia="SimSun"/>
          <w:lang w:val="fr-FR"/>
        </w:rPr>
        <w:t xml:space="preserve"> il convient</w:t>
      </w:r>
      <w:r w:rsidR="000B5739" w:rsidRPr="00AA21B5">
        <w:rPr>
          <w:rFonts w:eastAsia="SimSun"/>
          <w:lang w:val="fr-FR"/>
        </w:rPr>
        <w:t xml:space="preserve"> d’assurer une concertation à la fois verticale et horizontale entre les différents niveaux de pouvoirs. La sixième réforme de l’Etat et le transfert </w:t>
      </w:r>
      <w:r w:rsidR="008E14EC" w:rsidRPr="00AA21B5">
        <w:rPr>
          <w:rFonts w:eastAsia="SimSun"/>
          <w:lang w:val="fr-FR"/>
        </w:rPr>
        <w:t>du fédéral aux entités fédérées de nombreuses compétences</w:t>
      </w:r>
      <w:r w:rsidR="000B5739" w:rsidRPr="00AA21B5">
        <w:rPr>
          <w:rFonts w:eastAsia="SimSun"/>
          <w:lang w:val="fr-FR"/>
        </w:rPr>
        <w:t xml:space="preserve"> relatives au handicap ne font que renforcer cette nécessité.</w:t>
      </w:r>
    </w:p>
    <w:p w:rsidR="009469EE" w:rsidRDefault="009469EE" w:rsidP="00DE48D7">
      <w:pPr>
        <w:jc w:val="both"/>
        <w:rPr>
          <w:rFonts w:eastAsia="SimSun"/>
          <w:lang w:val="fr-FR"/>
        </w:rPr>
      </w:pPr>
    </w:p>
    <w:p w:rsidR="000B5739" w:rsidRPr="00AA21B5" w:rsidRDefault="000B5739" w:rsidP="00DE48D7">
      <w:pPr>
        <w:jc w:val="both"/>
        <w:rPr>
          <w:rFonts w:eastAsia="SimSun"/>
          <w:lang w:val="fr-FR"/>
        </w:rPr>
      </w:pPr>
      <w:r w:rsidRPr="00AA21B5">
        <w:rPr>
          <w:rFonts w:eastAsia="SimSun"/>
          <w:lang w:val="fr-FR"/>
        </w:rPr>
        <w:lastRenderedPageBreak/>
        <w:t xml:space="preserve">Cette attention permanente peut se traduire notamment par un réflexe préalable à toute démarche législative ou exécutive et le renforcement du dispositif par lequel tous les pouvoirs publics désignent une personne de contact veillant à l’intégration de la dimension « handicap ». Le </w:t>
      </w:r>
      <w:proofErr w:type="spellStart"/>
      <w:r w:rsidRPr="00AA21B5">
        <w:rPr>
          <w:rFonts w:eastAsia="SimSun"/>
          <w:i/>
          <w:lang w:val="fr-FR"/>
        </w:rPr>
        <w:t>handistreaming</w:t>
      </w:r>
      <w:proofErr w:type="spellEnd"/>
      <w:r w:rsidRPr="00AA21B5">
        <w:rPr>
          <w:rFonts w:eastAsia="SimSun"/>
          <w:lang w:val="fr-FR"/>
        </w:rPr>
        <w:t xml:space="preserve"> ne se limite donc pas à l'embauche de personnes handicapées </w:t>
      </w:r>
      <w:r w:rsidR="003E0AEA" w:rsidRPr="00AA21B5">
        <w:rPr>
          <w:rFonts w:eastAsia="SimSun"/>
          <w:lang w:val="fr-FR"/>
        </w:rPr>
        <w:t>ou à</w:t>
      </w:r>
      <w:r w:rsidRPr="00AA21B5">
        <w:rPr>
          <w:rFonts w:eastAsia="SimSun"/>
          <w:lang w:val="fr-FR"/>
        </w:rPr>
        <w:t xml:space="preserve"> l'accessibilité des bâtiments. </w:t>
      </w:r>
    </w:p>
    <w:p w:rsidR="000B5739" w:rsidRDefault="000B5739" w:rsidP="00CA32AB">
      <w:pPr>
        <w:jc w:val="both"/>
        <w:rPr>
          <w:rFonts w:eastAsia="SimSun"/>
          <w:lang w:val="fr-FR"/>
        </w:rPr>
      </w:pPr>
      <w:r w:rsidRPr="00AA21B5">
        <w:rPr>
          <w:rFonts w:eastAsia="SimSun"/>
          <w:lang w:val="fr-FR"/>
        </w:rPr>
        <w:t xml:space="preserve">Pour l’ensemble des actions entreprises (Conférence interministérielle  </w:t>
      </w:r>
      <w:r w:rsidR="00CA32AB">
        <w:rPr>
          <w:rFonts w:eastAsia="SimSun"/>
          <w:lang w:val="fr-FR"/>
        </w:rPr>
        <w:t>« </w:t>
      </w:r>
      <w:r w:rsidRPr="00AA21B5">
        <w:rPr>
          <w:rFonts w:eastAsia="SimSun"/>
          <w:lang w:val="fr-FR"/>
        </w:rPr>
        <w:t xml:space="preserve">Bien-être, Sports et famille » - Volet personnes handicapées), il conviendra également d’assurer une évaluation régulière, afin de voir où </w:t>
      </w:r>
      <w:r w:rsidR="00FE20EE" w:rsidRPr="00AA21B5">
        <w:rPr>
          <w:rFonts w:eastAsia="SimSun"/>
          <w:lang w:val="fr-FR"/>
        </w:rPr>
        <w:t>elles pourraient</w:t>
      </w:r>
      <w:r w:rsidRPr="00AA21B5">
        <w:rPr>
          <w:rFonts w:eastAsia="SimSun"/>
          <w:lang w:val="fr-FR"/>
        </w:rPr>
        <w:t xml:space="preserve"> être renforcées.</w:t>
      </w:r>
    </w:p>
    <w:p w:rsidR="00FB22A0" w:rsidRDefault="00FB22A0" w:rsidP="00CA32AB">
      <w:pPr>
        <w:jc w:val="both"/>
        <w:rPr>
          <w:rFonts w:eastAsia="SimSun"/>
          <w:lang w:val="fr-FR"/>
        </w:rPr>
      </w:pPr>
      <w:r w:rsidRPr="00AA21B5">
        <w:rPr>
          <w:rFonts w:eastAsia="SimSun"/>
          <w:lang w:val="fr-FR"/>
        </w:rPr>
        <w:t>Ainsi, en qualité de mécanisme indépendant, le Centre encourage</w:t>
      </w:r>
      <w:r w:rsidR="00FE20EE" w:rsidRPr="00AA21B5">
        <w:rPr>
          <w:rFonts w:eastAsia="SimSun"/>
          <w:lang w:val="fr-FR"/>
        </w:rPr>
        <w:t xml:space="preserve"> </w:t>
      </w:r>
      <w:r w:rsidRPr="00AA21B5">
        <w:rPr>
          <w:rFonts w:eastAsia="SimSun"/>
          <w:lang w:val="fr-FR"/>
        </w:rPr>
        <w:t xml:space="preserve"> </w:t>
      </w:r>
      <w:r w:rsidR="00FE20EE" w:rsidRPr="00AA21B5">
        <w:rPr>
          <w:rFonts w:eastAsia="SimSun"/>
          <w:lang w:val="fr-FR"/>
        </w:rPr>
        <w:t>notamment l</w:t>
      </w:r>
      <w:r w:rsidRPr="00AA21B5">
        <w:rPr>
          <w:rFonts w:eastAsia="SimSun"/>
          <w:lang w:val="fr-FR"/>
        </w:rPr>
        <w:t>es pouvoirs publics à</w:t>
      </w:r>
      <w:r w:rsidR="00FE20EE" w:rsidRPr="00AA21B5">
        <w:rPr>
          <w:rFonts w:eastAsia="SimSun"/>
          <w:lang w:val="fr-FR"/>
        </w:rPr>
        <w:t xml:space="preserve"> veiller à ce que les</w:t>
      </w:r>
      <w:r w:rsidRPr="00AA21B5">
        <w:rPr>
          <w:rFonts w:eastAsia="SimSun"/>
          <w:lang w:val="fr-FR"/>
        </w:rPr>
        <w:t xml:space="preserve"> services généraux des différentes entités et concernant différentes compétences (emploi, formation, logement, </w:t>
      </w:r>
      <w:r w:rsidR="00A0556E" w:rsidRPr="00AA21B5">
        <w:rPr>
          <w:rFonts w:eastAsia="SimSun"/>
          <w:lang w:val="fr-FR"/>
        </w:rPr>
        <w:t>etc.</w:t>
      </w:r>
      <w:r w:rsidRPr="00AA21B5">
        <w:rPr>
          <w:rFonts w:eastAsia="SimSun"/>
          <w:lang w:val="fr-FR"/>
        </w:rPr>
        <w:t>) soient accessibles</w:t>
      </w:r>
      <w:r w:rsidR="00FE20EE" w:rsidRPr="00AA21B5">
        <w:rPr>
          <w:rFonts w:eastAsia="SimSun"/>
          <w:lang w:val="fr-FR"/>
        </w:rPr>
        <w:t xml:space="preserve"> aux </w:t>
      </w:r>
      <w:r w:rsidRPr="00AA21B5">
        <w:rPr>
          <w:rFonts w:eastAsia="SimSun"/>
          <w:lang w:val="fr-FR"/>
        </w:rPr>
        <w:t>personnes en situation de handicap</w:t>
      </w:r>
      <w:r w:rsidR="00FE20EE" w:rsidRPr="00AA21B5">
        <w:rPr>
          <w:rFonts w:eastAsia="SimSun"/>
          <w:lang w:val="fr-FR"/>
        </w:rPr>
        <w:t xml:space="preserve"> en organisant par exemple </w:t>
      </w:r>
      <w:r w:rsidRPr="00AA21B5">
        <w:rPr>
          <w:rFonts w:eastAsia="SimSun"/>
          <w:lang w:val="fr-FR"/>
        </w:rPr>
        <w:t>des campagnes d’information</w:t>
      </w:r>
      <w:r w:rsidR="00FE20EE" w:rsidRPr="00AA21B5">
        <w:rPr>
          <w:rFonts w:eastAsia="SimSun"/>
          <w:lang w:val="fr-FR"/>
        </w:rPr>
        <w:t xml:space="preserve">, </w:t>
      </w:r>
      <w:r w:rsidRPr="00AA21B5">
        <w:rPr>
          <w:rFonts w:eastAsia="SimSun"/>
          <w:lang w:val="fr-FR"/>
        </w:rPr>
        <w:t>des actions ciblées</w:t>
      </w:r>
      <w:r w:rsidR="00FE20EE" w:rsidRPr="00AA21B5">
        <w:rPr>
          <w:rFonts w:eastAsia="SimSun"/>
          <w:lang w:val="fr-FR"/>
        </w:rPr>
        <w:t xml:space="preserve"> ou </w:t>
      </w:r>
      <w:r w:rsidRPr="00AA21B5">
        <w:rPr>
          <w:rFonts w:eastAsia="SimSun"/>
          <w:lang w:val="fr-FR"/>
        </w:rPr>
        <w:t>en émettant des recommandations</w:t>
      </w:r>
      <w:r w:rsidR="00FE20EE" w:rsidRPr="00AA21B5">
        <w:rPr>
          <w:rFonts w:eastAsia="SimSun"/>
          <w:lang w:val="fr-FR"/>
        </w:rPr>
        <w:t>.</w:t>
      </w:r>
    </w:p>
    <w:p w:rsidR="00CD5242" w:rsidRPr="00AA21B5" w:rsidRDefault="00CD5242" w:rsidP="00AA21B5">
      <w:pPr>
        <w:spacing w:after="0" w:line="240" w:lineRule="auto"/>
        <w:jc w:val="both"/>
        <w:rPr>
          <w:rFonts w:eastAsia="SimSun" w:cstheme="minorHAnsi"/>
          <w:lang w:val="fr-FR"/>
        </w:rPr>
      </w:pPr>
    </w:p>
    <w:p w:rsidR="000B5739" w:rsidRPr="00CD5242" w:rsidRDefault="000B5739" w:rsidP="00CD5242">
      <w:pPr>
        <w:pStyle w:val="Titre3"/>
      </w:pPr>
      <w:bookmarkStart w:id="27" w:name="_Toc377028532"/>
      <w:bookmarkStart w:id="28" w:name="_Toc377030212"/>
      <w:r w:rsidRPr="00CD5242">
        <w:t>Droits fondamentaux des personnes handicapées en détention</w:t>
      </w:r>
      <w:bookmarkEnd w:id="27"/>
      <w:bookmarkEnd w:id="28"/>
    </w:p>
    <w:p w:rsidR="00B00354" w:rsidRPr="00AA21B5" w:rsidRDefault="00B00354" w:rsidP="00AA21B5">
      <w:pPr>
        <w:spacing w:after="0" w:line="240" w:lineRule="auto"/>
        <w:jc w:val="both"/>
        <w:rPr>
          <w:rFonts w:cstheme="minorHAnsi"/>
          <w:lang w:val="fr-FR"/>
        </w:rPr>
      </w:pPr>
    </w:p>
    <w:p w:rsidR="00A608DB" w:rsidRDefault="00D17B63" w:rsidP="00A608DB">
      <w:pPr>
        <w:spacing w:after="0"/>
        <w:jc w:val="both"/>
        <w:rPr>
          <w:lang w:val="fr-FR"/>
        </w:rPr>
      </w:pPr>
      <w:r w:rsidRPr="00AA21B5">
        <w:rPr>
          <w:lang w:val="fr-FR"/>
        </w:rPr>
        <w:t>L</w:t>
      </w:r>
      <w:r w:rsidR="000B5739" w:rsidRPr="00AA21B5">
        <w:rPr>
          <w:lang w:val="fr-FR"/>
        </w:rPr>
        <w:t>e Centre a décidé d’accorder une attention accrue aux groupes-cibles les plus vulnérables. Le phénomène bien connu de l’</w:t>
      </w:r>
      <w:r w:rsidR="000B5739" w:rsidRPr="00AA21B5">
        <w:rPr>
          <w:i/>
          <w:lang w:val="fr-FR"/>
        </w:rPr>
        <w:t>institutionnalisation</w:t>
      </w:r>
      <w:r w:rsidR="000B5739" w:rsidRPr="00AA21B5">
        <w:rPr>
          <w:lang w:val="fr-FR"/>
        </w:rPr>
        <w:t xml:space="preserve"> est donc l’un des thèmes que le Centre traitera au cours des prochaines années.</w:t>
      </w:r>
    </w:p>
    <w:p w:rsidR="00A608DB" w:rsidRDefault="00A608DB" w:rsidP="00A608DB">
      <w:pPr>
        <w:spacing w:after="0"/>
        <w:jc w:val="both"/>
        <w:rPr>
          <w:lang w:val="fr-FR"/>
        </w:rPr>
      </w:pPr>
    </w:p>
    <w:p w:rsidR="000B5739" w:rsidRDefault="000B5739" w:rsidP="00A608DB">
      <w:pPr>
        <w:spacing w:after="0"/>
        <w:jc w:val="both"/>
        <w:rPr>
          <w:lang w:val="fr-FR"/>
        </w:rPr>
      </w:pPr>
      <w:r w:rsidRPr="00AA21B5">
        <w:rPr>
          <w:lang w:val="fr-FR"/>
        </w:rPr>
        <w:t>Dans cette perspective, la problématique de l’internement et, de manière générale, des personnes handicapées en détention sera également l’objet d’un plan d’action spécifique, afin de veiller au respect des droits fondamentaux de ce public.</w:t>
      </w:r>
    </w:p>
    <w:p w:rsidR="00CD5242" w:rsidRPr="00AA21B5" w:rsidRDefault="00CD5242" w:rsidP="00A608DB">
      <w:pPr>
        <w:spacing w:after="0" w:line="240" w:lineRule="auto"/>
        <w:jc w:val="both"/>
        <w:rPr>
          <w:rFonts w:cstheme="minorHAnsi"/>
          <w:lang w:val="fr-FR"/>
        </w:rPr>
      </w:pPr>
    </w:p>
    <w:p w:rsidR="000B5739" w:rsidRDefault="000B5739" w:rsidP="00A608DB">
      <w:pPr>
        <w:spacing w:after="0"/>
        <w:jc w:val="both"/>
        <w:rPr>
          <w:lang w:val="fr-FR"/>
        </w:rPr>
      </w:pPr>
      <w:r w:rsidRPr="00AA21B5">
        <w:rPr>
          <w:lang w:val="fr-FR"/>
        </w:rPr>
        <w:t xml:space="preserve">Le milieu carcéral présentant un fonctionnement et des caractéristiques propres, le Centre a choisi d’adopter une </w:t>
      </w:r>
      <w:r w:rsidRPr="00AA21B5">
        <w:rPr>
          <w:i/>
          <w:lang w:val="fr-FR"/>
        </w:rPr>
        <w:t>méthodologie spécifique</w:t>
      </w:r>
      <w:r w:rsidRPr="00AA21B5">
        <w:rPr>
          <w:lang w:val="fr-FR"/>
        </w:rPr>
        <w:t xml:space="preserve"> dont les axes principaux reposeront sur la construction d’une relation de confiance avec l’ensemble des acteurs en présence (autorités pénitentiaires, détenus et société civile), ainsi que sur une </w:t>
      </w:r>
      <w:r w:rsidRPr="00AA21B5">
        <w:rPr>
          <w:i/>
          <w:lang w:val="fr-FR"/>
        </w:rPr>
        <w:t>approche structurelle</w:t>
      </w:r>
      <w:r w:rsidRPr="00AA21B5">
        <w:rPr>
          <w:lang w:val="fr-FR"/>
        </w:rPr>
        <w:t xml:space="preserve"> des problématiques rencontrées.</w:t>
      </w:r>
    </w:p>
    <w:p w:rsidR="00CD5242" w:rsidRPr="00AA21B5" w:rsidRDefault="00CD5242" w:rsidP="00A608DB">
      <w:pPr>
        <w:spacing w:after="0"/>
        <w:jc w:val="both"/>
        <w:rPr>
          <w:rFonts w:cstheme="minorHAnsi"/>
          <w:lang w:val="fr-FR"/>
        </w:rPr>
      </w:pPr>
    </w:p>
    <w:p w:rsidR="00CD5242" w:rsidRDefault="000B5739" w:rsidP="00A608DB">
      <w:pPr>
        <w:spacing w:after="0"/>
        <w:jc w:val="both"/>
        <w:rPr>
          <w:lang w:val="fr-FR"/>
        </w:rPr>
      </w:pPr>
      <w:r w:rsidRPr="00AA21B5">
        <w:rPr>
          <w:lang w:val="fr-FR"/>
        </w:rPr>
        <w:t xml:space="preserve">Garantir des </w:t>
      </w:r>
      <w:r w:rsidRPr="00AA21B5">
        <w:rPr>
          <w:i/>
          <w:lang w:val="fr-FR"/>
        </w:rPr>
        <w:t>échanges directs</w:t>
      </w:r>
      <w:r w:rsidRPr="00AA21B5">
        <w:rPr>
          <w:lang w:val="fr-FR"/>
        </w:rPr>
        <w:t xml:space="preserve"> avec les intervenants de terrain ainsi que la </w:t>
      </w:r>
      <w:r w:rsidRPr="00AA21B5">
        <w:rPr>
          <w:i/>
          <w:lang w:val="fr-FR"/>
        </w:rPr>
        <w:t>confidentialité</w:t>
      </w:r>
      <w:r w:rsidRPr="00AA21B5">
        <w:rPr>
          <w:lang w:val="fr-FR"/>
        </w:rPr>
        <w:t xml:space="preserve"> des informations transmises au Centre en vue d’exercer son mandat de monitoring sont également des conditions qui permettront au Centre de mener ses missions à bien, dans le respect de son </w:t>
      </w:r>
      <w:r w:rsidRPr="00AA21B5">
        <w:rPr>
          <w:i/>
          <w:lang w:val="fr-FR"/>
        </w:rPr>
        <w:t>indépendance</w:t>
      </w:r>
      <w:r w:rsidRPr="00AA21B5">
        <w:rPr>
          <w:lang w:val="fr-FR"/>
        </w:rPr>
        <w:t xml:space="preserve">. </w:t>
      </w:r>
    </w:p>
    <w:p w:rsidR="008F1E66" w:rsidRDefault="008F1E66" w:rsidP="008F1E66">
      <w:pPr>
        <w:spacing w:after="0" w:line="240" w:lineRule="auto"/>
        <w:jc w:val="both"/>
        <w:rPr>
          <w:rFonts w:cstheme="minorHAnsi"/>
          <w:lang w:val="fr-FR"/>
        </w:rPr>
      </w:pPr>
    </w:p>
    <w:p w:rsidR="008F1E66" w:rsidRPr="008F1E66" w:rsidRDefault="008F1E66" w:rsidP="008F1E66">
      <w:pPr>
        <w:spacing w:after="0" w:line="240" w:lineRule="auto"/>
        <w:jc w:val="both"/>
        <w:rPr>
          <w:rFonts w:cstheme="minorHAnsi"/>
          <w:lang w:val="fr-FR"/>
        </w:rPr>
      </w:pPr>
    </w:p>
    <w:p w:rsidR="00CD5242" w:rsidRPr="008F1E66" w:rsidRDefault="002D7C1D" w:rsidP="00051B18">
      <w:pPr>
        <w:pStyle w:val="Citationintense"/>
      </w:pPr>
      <w:r w:rsidRPr="008F1E66">
        <w:rPr>
          <w:rStyle w:val="Accentuation"/>
        </w:rPr>
        <w:t>L</w:t>
      </w:r>
      <w:r w:rsidR="000B5739" w:rsidRPr="008F1E66">
        <w:rPr>
          <w:rStyle w:val="Accentuation"/>
        </w:rPr>
        <w:t xml:space="preserve">e Centre demande </w:t>
      </w:r>
      <w:r w:rsidR="00CA24A3" w:rsidRPr="008F1E66">
        <w:rPr>
          <w:rStyle w:val="Accentuation"/>
        </w:rPr>
        <w:t xml:space="preserve">un droit d’accès dans tous les lieux où sont </w:t>
      </w:r>
      <w:r w:rsidR="003E0AEA" w:rsidRPr="008F1E66">
        <w:rPr>
          <w:rStyle w:val="Accentuation"/>
        </w:rPr>
        <w:t>détenus</w:t>
      </w:r>
      <w:r w:rsidR="00CA24A3" w:rsidRPr="008F1E66">
        <w:rPr>
          <w:rStyle w:val="Accentuation"/>
        </w:rPr>
        <w:t xml:space="preserve"> des internés et des personnes en situation de handicap</w:t>
      </w:r>
      <w:r w:rsidR="000B5739" w:rsidRPr="008F1E66">
        <w:rPr>
          <w:rStyle w:val="Accentuation"/>
        </w:rPr>
        <w:t>.</w:t>
      </w:r>
    </w:p>
    <w:p w:rsidR="00CD5242" w:rsidRDefault="00CD5242" w:rsidP="00AA21B5">
      <w:pPr>
        <w:pStyle w:val="Titre2"/>
        <w:spacing w:before="0"/>
        <w:jc w:val="both"/>
        <w:rPr>
          <w:rFonts w:asciiTheme="minorHAnsi" w:hAnsiTheme="minorHAnsi" w:cstheme="minorHAnsi"/>
          <w:lang w:val="fr-FR"/>
        </w:rPr>
      </w:pPr>
      <w:bookmarkStart w:id="29" w:name="_Toc377028533"/>
    </w:p>
    <w:p w:rsidR="00953B3E" w:rsidRPr="00953B3E" w:rsidRDefault="00953B3E" w:rsidP="00953B3E">
      <w:bookmarkStart w:id="30" w:name="_Toc377030213"/>
    </w:p>
    <w:p w:rsidR="00B2264C" w:rsidRPr="00CD5242" w:rsidRDefault="00B2264C" w:rsidP="00953B3E">
      <w:pPr>
        <w:pStyle w:val="Titre2"/>
        <w:ind w:left="0"/>
      </w:pPr>
      <w:r w:rsidRPr="00CD5242">
        <w:lastRenderedPageBreak/>
        <w:t>E-learning</w:t>
      </w:r>
      <w:bookmarkEnd w:id="29"/>
      <w:bookmarkEnd w:id="30"/>
      <w:r w:rsidRPr="00CD5242">
        <w:t xml:space="preserve"> </w:t>
      </w:r>
    </w:p>
    <w:p w:rsidR="00B00354" w:rsidRPr="00AA21B5" w:rsidRDefault="00B00354" w:rsidP="00AA21B5">
      <w:pPr>
        <w:spacing w:after="0" w:line="240" w:lineRule="auto"/>
        <w:jc w:val="both"/>
        <w:rPr>
          <w:rFonts w:cstheme="minorHAnsi"/>
          <w:lang w:val="fr-FR"/>
        </w:rPr>
      </w:pPr>
    </w:p>
    <w:p w:rsidR="00B2264C" w:rsidRDefault="00B2264C" w:rsidP="00A608DB">
      <w:pPr>
        <w:spacing w:after="0"/>
        <w:jc w:val="both"/>
        <w:rPr>
          <w:lang w:val="fr-FR"/>
        </w:rPr>
      </w:pPr>
      <w:r w:rsidRPr="00AA21B5">
        <w:rPr>
          <w:lang w:val="fr-FR"/>
        </w:rPr>
        <w:t xml:space="preserve">Depuis 2012, le Centre a initié l’élaboration d’un projet de « E-learning » destiné aux managers et aux responsables des ressources humaines en entreprise. L’objectif de celui-ci est de les former à la lutte contre les discriminations sur le marché de l’emploi. </w:t>
      </w:r>
    </w:p>
    <w:p w:rsidR="00CD5242" w:rsidRPr="00AA21B5" w:rsidRDefault="00CD5242" w:rsidP="00A608DB">
      <w:pPr>
        <w:spacing w:after="0"/>
        <w:jc w:val="both"/>
        <w:rPr>
          <w:lang w:val="fr-FR"/>
        </w:rPr>
      </w:pPr>
    </w:p>
    <w:p w:rsidR="00CD5242" w:rsidRDefault="00B2264C" w:rsidP="00A608DB">
      <w:pPr>
        <w:spacing w:after="0"/>
        <w:jc w:val="both"/>
        <w:rPr>
          <w:lang w:val="fr-FR"/>
        </w:rPr>
      </w:pPr>
      <w:r w:rsidRPr="00AA21B5">
        <w:rPr>
          <w:lang w:val="fr-FR"/>
        </w:rPr>
        <w:t xml:space="preserve">Ce projet, qui s’articule autour d’un module « lois » et d’une base de données reprenant des situations concrètes abordant les critères protégés par les législations </w:t>
      </w:r>
      <w:r w:rsidR="00375523" w:rsidRPr="00AA21B5">
        <w:rPr>
          <w:lang w:val="fr-FR"/>
        </w:rPr>
        <w:t>antidiscrimination</w:t>
      </w:r>
      <w:r w:rsidRPr="00AA21B5">
        <w:rPr>
          <w:lang w:val="fr-FR"/>
        </w:rPr>
        <w:t xml:space="preserve">, évoluera vers des modules destinés plus largement à la lutte contre les stéréotypes et préjugés et à la promotion de la diversité. </w:t>
      </w:r>
    </w:p>
    <w:p w:rsidR="006E463A" w:rsidRDefault="006E463A" w:rsidP="00A608DB">
      <w:pPr>
        <w:spacing w:after="0" w:line="240" w:lineRule="auto"/>
        <w:jc w:val="both"/>
        <w:rPr>
          <w:rFonts w:cstheme="minorHAnsi"/>
          <w:lang w:val="fr-FR"/>
        </w:rPr>
      </w:pPr>
    </w:p>
    <w:p w:rsidR="006E463A" w:rsidRPr="006E463A" w:rsidRDefault="006E463A" w:rsidP="006E463A">
      <w:pPr>
        <w:spacing w:after="0" w:line="240" w:lineRule="auto"/>
        <w:jc w:val="both"/>
        <w:rPr>
          <w:rFonts w:cstheme="minorHAnsi"/>
          <w:lang w:val="fr-FR"/>
        </w:rPr>
      </w:pPr>
    </w:p>
    <w:p w:rsidR="00CD5242" w:rsidRDefault="00CD5242" w:rsidP="00051B18">
      <w:pPr>
        <w:pStyle w:val="Citationintense"/>
        <w:rPr>
          <w:rFonts w:asciiTheme="minorHAnsi" w:hAnsiTheme="minorHAnsi" w:cstheme="minorHAnsi"/>
          <w:lang w:val="fr-FR"/>
        </w:rPr>
      </w:pPr>
      <w:r w:rsidRPr="006E463A">
        <w:rPr>
          <w:rStyle w:val="Accentuation"/>
        </w:rPr>
        <w:t>Le projet e-learning destiné aux managers et aux responsables des ressources humaines en</w:t>
      </w:r>
      <w:r w:rsidR="00FD1A2A">
        <w:rPr>
          <w:rStyle w:val="Accentuation"/>
        </w:rPr>
        <w:t xml:space="preserve"> </w:t>
      </w:r>
      <w:r w:rsidRPr="006E463A">
        <w:rPr>
          <w:rStyle w:val="Accentuation"/>
        </w:rPr>
        <w:t>entreprise</w:t>
      </w:r>
      <w:r w:rsidRPr="006E463A" w:rsidDel="0080243A">
        <w:rPr>
          <w:rStyle w:val="Accentuation"/>
        </w:rPr>
        <w:t xml:space="preserve"> </w:t>
      </w:r>
      <w:r w:rsidRPr="006E463A">
        <w:rPr>
          <w:rStyle w:val="Accentuation"/>
        </w:rPr>
        <w:t xml:space="preserve">est actuellement majoritairement financé par </w:t>
      </w:r>
      <w:r w:rsidR="00906200" w:rsidRPr="006E463A" w:rsidDel="0080243A">
        <w:rPr>
          <w:rStyle w:val="Accentuation"/>
        </w:rPr>
        <w:t xml:space="preserve">les fonds propres du Centre. </w:t>
      </w:r>
      <w:r w:rsidR="00906200" w:rsidRPr="006E463A">
        <w:rPr>
          <w:rStyle w:val="Accentuation"/>
        </w:rPr>
        <w:t xml:space="preserve">Le Centre appelle les instances fédérales, régionales et communautaires </w:t>
      </w:r>
      <w:r w:rsidR="0072786E" w:rsidRPr="006E463A">
        <w:rPr>
          <w:rStyle w:val="Accentuation"/>
        </w:rPr>
        <w:t xml:space="preserve">à compléter le financement </w:t>
      </w:r>
      <w:r w:rsidR="00FD1A2A">
        <w:rPr>
          <w:rStyle w:val="Accentuation"/>
        </w:rPr>
        <w:t xml:space="preserve">du </w:t>
      </w:r>
      <w:r w:rsidR="00906200" w:rsidRPr="006E463A">
        <w:rPr>
          <w:rStyle w:val="Accentuation"/>
        </w:rPr>
        <w:t xml:space="preserve">projet </w:t>
      </w:r>
      <w:r w:rsidR="0080243A" w:rsidRPr="006E463A">
        <w:rPr>
          <w:rStyle w:val="Accentuation"/>
        </w:rPr>
        <w:t xml:space="preserve">d’e-learning </w:t>
      </w:r>
      <w:r w:rsidR="00906200" w:rsidRPr="006E463A">
        <w:rPr>
          <w:rStyle w:val="Accentuation"/>
        </w:rPr>
        <w:t>destiné aux entreprises publiques et privées</w:t>
      </w:r>
      <w:bookmarkStart w:id="31" w:name="_Toc377028534"/>
      <w:r w:rsidR="00FD1A2A">
        <w:rPr>
          <w:rStyle w:val="Accentuation"/>
        </w:rPr>
        <w:t>.</w:t>
      </w:r>
    </w:p>
    <w:p w:rsidR="006E463A" w:rsidRPr="00FD1A2A" w:rsidRDefault="006E463A" w:rsidP="00CD5242">
      <w:pPr>
        <w:pStyle w:val="Titre2"/>
        <w:rPr>
          <w:lang w:val="fr-FR"/>
        </w:rPr>
      </w:pPr>
      <w:bookmarkStart w:id="32" w:name="_Toc377030214"/>
    </w:p>
    <w:p w:rsidR="006E463A" w:rsidRDefault="006E463A" w:rsidP="006E463A">
      <w:pPr>
        <w:pStyle w:val="Titre2"/>
        <w:ind w:left="0"/>
      </w:pPr>
    </w:p>
    <w:p w:rsidR="004E346E" w:rsidRPr="00CD5242" w:rsidRDefault="004E346E" w:rsidP="00953B3E">
      <w:pPr>
        <w:pStyle w:val="Titre2"/>
        <w:ind w:left="0"/>
      </w:pPr>
      <w:r w:rsidRPr="00CD5242">
        <w:t xml:space="preserve">Mesurer c’est </w:t>
      </w:r>
      <w:r w:rsidR="00C6215A">
        <w:t>s</w:t>
      </w:r>
      <w:r w:rsidRPr="00CD5242">
        <w:t>avoir</w:t>
      </w:r>
      <w:bookmarkEnd w:id="32"/>
      <w:r w:rsidRPr="00CD5242">
        <w:t xml:space="preserve"> </w:t>
      </w:r>
      <w:bookmarkEnd w:id="31"/>
    </w:p>
    <w:p w:rsidR="00CD5242" w:rsidRDefault="00CD5242" w:rsidP="00CD5242">
      <w:pPr>
        <w:spacing w:after="0" w:line="240" w:lineRule="auto"/>
      </w:pPr>
      <w:bookmarkStart w:id="33" w:name="_Toc377028535"/>
    </w:p>
    <w:p w:rsidR="004E346E" w:rsidRDefault="00A608DB" w:rsidP="00FD1A2A">
      <w:pPr>
        <w:jc w:val="both"/>
        <w:rPr>
          <w:rFonts w:eastAsia="Times New Roman"/>
          <w:lang w:val="fr-FR" w:eastAsia="ar-SA"/>
        </w:rPr>
      </w:pPr>
      <w:r>
        <w:t xml:space="preserve">L’objectif est de </w:t>
      </w:r>
      <w:bookmarkEnd w:id="33"/>
      <w:r>
        <w:t>s</w:t>
      </w:r>
      <w:proofErr w:type="spellStart"/>
      <w:r w:rsidR="004E346E" w:rsidRPr="00AA21B5">
        <w:rPr>
          <w:rFonts w:eastAsia="Times New Roman"/>
          <w:lang w:val="fr-FR" w:eastAsia="ar-SA"/>
        </w:rPr>
        <w:t>outenir</w:t>
      </w:r>
      <w:proofErr w:type="spellEnd"/>
      <w:r w:rsidR="004E346E" w:rsidRPr="00AA21B5">
        <w:rPr>
          <w:rFonts w:eastAsia="Times New Roman"/>
          <w:lang w:val="fr-FR" w:eastAsia="ar-SA"/>
        </w:rPr>
        <w:t xml:space="preserve"> les travaux initiés par le Centre visant à mesurer l’ampleur de la discrimination et évaluer la capacité de la société à gérer les diversité</w:t>
      </w:r>
      <w:r w:rsidR="00BC0AB7" w:rsidRPr="00AA21B5">
        <w:rPr>
          <w:rFonts w:eastAsia="Times New Roman"/>
          <w:lang w:val="fr-FR" w:eastAsia="ar-SA"/>
        </w:rPr>
        <w:t>s</w:t>
      </w:r>
      <w:r w:rsidR="004E346E" w:rsidRPr="00AA21B5">
        <w:rPr>
          <w:rFonts w:eastAsia="Times New Roman"/>
          <w:lang w:val="fr-FR" w:eastAsia="ar-SA"/>
        </w:rPr>
        <w:t xml:space="preserve"> dans les grands secteurs qui charpentent notre pays en tenant compte des réalités régionales et communautaires, à savoir notamment : l’emploi, le logement et l’enseignement. Ce soutien suppose une consolidation des liens de collaboration entre le Centre et les différents niveaux de pouvoir.  </w:t>
      </w:r>
    </w:p>
    <w:p w:rsidR="004E346E" w:rsidRDefault="003E0AEA" w:rsidP="009469EE">
      <w:pPr>
        <w:rPr>
          <w:rFonts w:eastAsia="Times New Roman" w:cstheme="minorHAnsi"/>
          <w:lang w:val="fr-FR" w:eastAsia="ar-SA"/>
        </w:rPr>
      </w:pPr>
      <w:r w:rsidRPr="00AA21B5">
        <w:rPr>
          <w:rFonts w:eastAsia="Times New Roman" w:cstheme="minorHAnsi"/>
          <w:lang w:val="fr-FR" w:eastAsia="ar-SA"/>
        </w:rPr>
        <w:t>Le Centre développe deux outils de mesure structurelle :</w:t>
      </w:r>
    </w:p>
    <w:p w:rsidR="00CD5242" w:rsidRPr="00E92926" w:rsidRDefault="00CD5242" w:rsidP="00E92926">
      <w:pPr>
        <w:pStyle w:val="Paragraphedeliste"/>
        <w:numPr>
          <w:ilvl w:val="0"/>
          <w:numId w:val="20"/>
        </w:numPr>
        <w:rPr>
          <w:i/>
          <w:lang w:val="fr-FR" w:eastAsia="ar-SA"/>
        </w:rPr>
      </w:pPr>
      <w:r w:rsidRPr="00E92926">
        <w:rPr>
          <w:i/>
          <w:lang w:val="fr-FR" w:eastAsia="ar-SA"/>
        </w:rPr>
        <w:t>Le B</w:t>
      </w:r>
      <w:r w:rsidR="004E346E" w:rsidRPr="00E92926">
        <w:rPr>
          <w:i/>
          <w:lang w:val="fr-FR" w:eastAsia="ar-SA"/>
        </w:rPr>
        <w:t xml:space="preserve">aromètre de la diversité </w:t>
      </w:r>
    </w:p>
    <w:p w:rsidR="004E346E" w:rsidRDefault="004E346E" w:rsidP="00CA32AB">
      <w:pPr>
        <w:jc w:val="both"/>
        <w:rPr>
          <w:rFonts w:eastAsia="Times New Roman" w:cstheme="minorHAnsi"/>
          <w:lang w:val="fr-FR" w:eastAsia="ar-SA"/>
        </w:rPr>
      </w:pPr>
      <w:r w:rsidRPr="00AA21B5">
        <w:rPr>
          <w:rFonts w:eastAsia="Times New Roman" w:cstheme="minorHAnsi"/>
          <w:lang w:val="fr-FR" w:eastAsia="ar-SA"/>
        </w:rPr>
        <w:t xml:space="preserve">Le projet de baromètre de la diversité vise à élaborer un instrument de mesure de la diversité structurel et à long terme qui dresse de manière scientifique un état des lieux des comportements (=degré de discrimination) et  des attitudes (=degré de tolérance) des acteurs, et de la participation réelle (=degré de participation) des citoyens dans la société belge. Et ce, selon les critères de discrimination repris par les lois antidiscrimination du 10 mai 2007 et dans les secteurs de l’emploi, du logement et de l’enseignement. </w:t>
      </w:r>
    </w:p>
    <w:p w:rsidR="004E346E" w:rsidRPr="00E92926" w:rsidRDefault="004E346E" w:rsidP="00E92926">
      <w:pPr>
        <w:pStyle w:val="Paragraphedeliste"/>
        <w:numPr>
          <w:ilvl w:val="0"/>
          <w:numId w:val="20"/>
        </w:numPr>
        <w:rPr>
          <w:i/>
          <w:lang w:val="fr-FR"/>
        </w:rPr>
      </w:pPr>
      <w:r w:rsidRPr="00E92926">
        <w:rPr>
          <w:i/>
          <w:lang w:val="fr-FR"/>
        </w:rPr>
        <w:t>Le Monitoring</w:t>
      </w:r>
      <w:r w:rsidR="00CD5242" w:rsidRPr="00E92926">
        <w:rPr>
          <w:i/>
          <w:lang w:val="fr-FR"/>
        </w:rPr>
        <w:t xml:space="preserve"> socio-économique</w:t>
      </w:r>
    </w:p>
    <w:p w:rsidR="004E346E" w:rsidRDefault="004E346E" w:rsidP="008034FC">
      <w:pPr>
        <w:jc w:val="both"/>
        <w:rPr>
          <w:rFonts w:eastAsia="Times New Roman"/>
          <w:szCs w:val="24"/>
          <w:lang w:val="fr-FR" w:eastAsia="ar-SA"/>
        </w:rPr>
      </w:pPr>
      <w:r w:rsidRPr="00AA21B5">
        <w:rPr>
          <w:lang w:val="fr-FR"/>
        </w:rPr>
        <w:t>Le Centre en partenariat avec le SPF Emploi, Travail et Concertation sociale, la Banque carrefour de la Sécurité sociale et le Registre national a mis en œuvre un outil pérenne appelé « monitoring socio-économique» visant à mesurer l’importance de l’</w:t>
      </w:r>
      <w:proofErr w:type="spellStart"/>
      <w:r w:rsidRPr="00AA21B5">
        <w:rPr>
          <w:lang w:val="fr-FR"/>
        </w:rPr>
        <w:t>ethnostratification</w:t>
      </w:r>
      <w:proofErr w:type="spellEnd"/>
      <w:r w:rsidRPr="00AA21B5">
        <w:rPr>
          <w:lang w:val="fr-FR"/>
        </w:rPr>
        <w:t xml:space="preserve"> du marché du travail. L’hypothèse étant que la position des travailleurs  sur le marché </w:t>
      </w:r>
      <w:r w:rsidRPr="00AA21B5">
        <w:rPr>
          <w:lang w:val="fr-FR"/>
        </w:rPr>
        <w:lastRenderedPageBreak/>
        <w:t xml:space="preserve">du travail reflète, pour partie, une distribution basée sur la nationalité ou l’origine nationale des personnes. </w:t>
      </w:r>
      <w:r w:rsidRPr="00AA21B5">
        <w:rPr>
          <w:rFonts w:eastAsia="Times New Roman"/>
          <w:szCs w:val="24"/>
          <w:lang w:val="fr-FR" w:eastAsia="ar-SA"/>
        </w:rPr>
        <w:t>Le premier rapport du Monitoring a été présenté lors du séminaire du 5 septembre 2013 en présence des partenaires sociaux et de la ministre de l’emploi fédéral. Dans l’état actuel de l’outil, le monitoring prend en compte le critère « origine » uniquement.</w:t>
      </w:r>
    </w:p>
    <w:p w:rsidR="003A4FEB" w:rsidRPr="00AA21B5" w:rsidRDefault="004E346E" w:rsidP="00FD1A2A">
      <w:pPr>
        <w:jc w:val="both"/>
        <w:rPr>
          <w:lang w:val="fr-FR"/>
        </w:rPr>
      </w:pPr>
      <w:bookmarkStart w:id="34" w:name="_Toc377028537"/>
      <w:r w:rsidRPr="00A608DB">
        <w:rPr>
          <w:lang w:val="fr-FR"/>
        </w:rPr>
        <w:t>Comment atteindre l’objectif</w:t>
      </w:r>
      <w:bookmarkEnd w:id="34"/>
      <w:r w:rsidR="00A608DB" w:rsidRPr="00A608DB">
        <w:rPr>
          <w:lang w:val="fr-FR"/>
        </w:rPr>
        <w:t> </w:t>
      </w:r>
      <w:r w:rsidR="00A608DB">
        <w:rPr>
          <w:lang w:val="fr-FR"/>
        </w:rPr>
        <w:t xml:space="preserve">fixé ? </w:t>
      </w:r>
      <w:r w:rsidR="00C976DD" w:rsidRPr="00AA21B5">
        <w:rPr>
          <w:lang w:val="fr-FR"/>
        </w:rPr>
        <w:t>Le</w:t>
      </w:r>
      <w:r w:rsidR="003A4FEB" w:rsidRPr="00AA21B5">
        <w:rPr>
          <w:lang w:val="fr-FR"/>
        </w:rPr>
        <w:t xml:space="preserve"> Centre est habilité à effectuer toutes les études et recherches nécessaires à l’accomplissement de ses missions. Dans ce cadre, à la demande du </w:t>
      </w:r>
      <w:r w:rsidR="00C976DD" w:rsidRPr="00AA21B5">
        <w:rPr>
          <w:lang w:val="fr-FR"/>
        </w:rPr>
        <w:t>C</w:t>
      </w:r>
      <w:r w:rsidR="003A4FEB" w:rsidRPr="00AA21B5">
        <w:rPr>
          <w:lang w:val="fr-FR"/>
        </w:rPr>
        <w:t xml:space="preserve">entre, chaque autorité et chaque institution publique mettent à </w:t>
      </w:r>
      <w:r w:rsidR="00C976DD" w:rsidRPr="00AA21B5">
        <w:rPr>
          <w:lang w:val="fr-FR"/>
        </w:rPr>
        <w:t xml:space="preserve">sa </w:t>
      </w:r>
      <w:r w:rsidR="003A4FEB" w:rsidRPr="00AA21B5">
        <w:rPr>
          <w:lang w:val="fr-FR"/>
        </w:rPr>
        <w:t xml:space="preserve">disposition les informations nécessaires à l’accomplissement des dites missions. Cette mise à disposition se réalise très concrètement par l’échange de données (dans le respect de la loi sur la protection de la vie privée) et par la formalisation de contacts entre collaborateurs du Centre et administrations concernées. </w:t>
      </w:r>
    </w:p>
    <w:p w:rsidR="005465FA" w:rsidRPr="00AA21B5" w:rsidRDefault="005465FA" w:rsidP="00CD5242">
      <w:pPr>
        <w:pStyle w:val="Paragraphedeliste"/>
        <w:spacing w:after="0" w:line="240" w:lineRule="auto"/>
        <w:ind w:left="0"/>
        <w:contextualSpacing w:val="0"/>
        <w:jc w:val="both"/>
        <w:rPr>
          <w:rFonts w:cstheme="minorHAnsi"/>
          <w:lang w:val="fr-FR"/>
        </w:rPr>
      </w:pPr>
    </w:p>
    <w:p w:rsidR="008034FC" w:rsidRDefault="005465FA" w:rsidP="005F362C">
      <w:pPr>
        <w:pStyle w:val="Citationintense"/>
        <w:tabs>
          <w:tab w:val="clear" w:pos="1560"/>
          <w:tab w:val="clear" w:pos="1843"/>
          <w:tab w:val="clear" w:pos="2835"/>
        </w:tabs>
        <w:rPr>
          <w:rStyle w:val="Accentuation"/>
        </w:rPr>
      </w:pPr>
      <w:r w:rsidRPr="00034330">
        <w:rPr>
          <w:rStyle w:val="Accentuation"/>
        </w:rPr>
        <w:t>Le Centre plaide pour que ces collaborations permettent de :</w:t>
      </w:r>
    </w:p>
    <w:p w:rsidR="004E346E" w:rsidRPr="00034330" w:rsidRDefault="004E346E" w:rsidP="005F362C">
      <w:pPr>
        <w:pStyle w:val="Citationintense"/>
        <w:numPr>
          <w:ilvl w:val="0"/>
          <w:numId w:val="28"/>
        </w:numPr>
        <w:tabs>
          <w:tab w:val="clear" w:pos="1560"/>
          <w:tab w:val="clear" w:pos="1843"/>
          <w:tab w:val="clear" w:pos="2835"/>
        </w:tabs>
        <w:ind w:left="2410" w:firstLine="0"/>
        <w:rPr>
          <w:rStyle w:val="Accentuation"/>
        </w:rPr>
      </w:pPr>
      <w:r w:rsidRPr="00034330">
        <w:rPr>
          <w:rStyle w:val="Accentuation"/>
        </w:rPr>
        <w:t>Consolider les partenariats entre le Centre, la Banque Carrefour (SPF Affaires sociales</w:t>
      </w:r>
      <w:r w:rsidR="00A0556E" w:rsidRPr="00034330">
        <w:rPr>
          <w:rStyle w:val="Accentuation"/>
        </w:rPr>
        <w:t>),</w:t>
      </w:r>
      <w:r w:rsidRPr="00034330">
        <w:rPr>
          <w:rStyle w:val="Accentuation"/>
        </w:rPr>
        <w:t xml:space="preserve"> le Registre national (SPF Intérieur) et selon les matières abordées, les niveaux de pouvoirs fédéral et fédérés.</w:t>
      </w:r>
    </w:p>
    <w:p w:rsidR="004E346E" w:rsidRPr="00FD1A2A" w:rsidRDefault="004E346E" w:rsidP="005F362C">
      <w:pPr>
        <w:pStyle w:val="Citationintense"/>
        <w:numPr>
          <w:ilvl w:val="0"/>
          <w:numId w:val="28"/>
        </w:numPr>
        <w:tabs>
          <w:tab w:val="clear" w:pos="1560"/>
          <w:tab w:val="clear" w:pos="1843"/>
          <w:tab w:val="clear" w:pos="2835"/>
        </w:tabs>
        <w:ind w:left="2410" w:firstLine="0"/>
        <w:rPr>
          <w:rStyle w:val="Accentuation"/>
        </w:rPr>
      </w:pPr>
      <w:r w:rsidRPr="00034330">
        <w:rPr>
          <w:rStyle w:val="Accentuation"/>
        </w:rPr>
        <w:t xml:space="preserve">Concernant le pouvoir fédéral : pérenniser la production du Monitoring socio-économique et soutenir le suivi des recommandations du rapport </w:t>
      </w:r>
      <w:r w:rsidRPr="00FD1A2A">
        <w:rPr>
          <w:rStyle w:val="Accentuation"/>
        </w:rPr>
        <w:t xml:space="preserve">du 5 septembre 2013 (voir le point « Emploi » à la page </w:t>
      </w:r>
      <w:r w:rsidR="00FD1A2A" w:rsidRPr="00FD1A2A">
        <w:rPr>
          <w:rStyle w:val="Accentuation"/>
        </w:rPr>
        <w:t>2</w:t>
      </w:r>
      <w:r w:rsidR="00212434">
        <w:rPr>
          <w:rStyle w:val="Accentuation"/>
        </w:rPr>
        <w:t>6</w:t>
      </w:r>
      <w:r w:rsidRPr="00FD1A2A">
        <w:rPr>
          <w:rStyle w:val="Accentuation"/>
        </w:rPr>
        <w:t xml:space="preserve"> de ce Mémorandum). </w:t>
      </w:r>
    </w:p>
    <w:p w:rsidR="004E346E" w:rsidRPr="00FD1A2A" w:rsidRDefault="004E346E" w:rsidP="005F362C">
      <w:pPr>
        <w:pStyle w:val="Citationintense"/>
        <w:numPr>
          <w:ilvl w:val="0"/>
          <w:numId w:val="28"/>
        </w:numPr>
        <w:tabs>
          <w:tab w:val="clear" w:pos="1560"/>
          <w:tab w:val="clear" w:pos="1843"/>
          <w:tab w:val="clear" w:pos="2835"/>
        </w:tabs>
        <w:ind w:left="2410" w:firstLine="0"/>
        <w:rPr>
          <w:rStyle w:val="Accentuation"/>
        </w:rPr>
      </w:pPr>
      <w:r w:rsidRPr="00FD1A2A">
        <w:rPr>
          <w:rStyle w:val="Accentuation"/>
        </w:rPr>
        <w:t xml:space="preserve">Concernant les pouvoirs fédéral et régionaux : </w:t>
      </w:r>
      <w:r w:rsidRPr="00FD1A2A">
        <w:rPr>
          <w:rStyle w:val="Accentuation"/>
        </w:rPr>
        <w:br/>
        <w:t xml:space="preserve">a) soutenir la reconduction du Baromètre de la diversité en matière d’emploi (pour plus de précisions, voir le point « Emploi » à la page </w:t>
      </w:r>
      <w:r w:rsidR="00FD1A2A" w:rsidRPr="00FD1A2A">
        <w:rPr>
          <w:rStyle w:val="Accentuation"/>
        </w:rPr>
        <w:t>2</w:t>
      </w:r>
      <w:r w:rsidR="00212434">
        <w:rPr>
          <w:rStyle w:val="Accentuation"/>
        </w:rPr>
        <w:t>6</w:t>
      </w:r>
      <w:r w:rsidRPr="00FD1A2A">
        <w:rPr>
          <w:rStyle w:val="Accentuation"/>
        </w:rPr>
        <w:t xml:space="preserve"> de ce Mémorandum)  </w:t>
      </w:r>
      <w:r w:rsidRPr="00FD1A2A">
        <w:rPr>
          <w:rStyle w:val="Accentuation"/>
        </w:rPr>
        <w:br/>
        <w:t>b) assurer le suivi des recommandation</w:t>
      </w:r>
      <w:r w:rsidR="00BC0AB7" w:rsidRPr="00FD1A2A">
        <w:rPr>
          <w:rStyle w:val="Accentuation"/>
        </w:rPr>
        <w:t>s</w:t>
      </w:r>
      <w:r w:rsidRPr="00FD1A2A">
        <w:rPr>
          <w:rStyle w:val="Accentuation"/>
        </w:rPr>
        <w:t xml:space="preserve"> du baromètre Logement 201</w:t>
      </w:r>
      <w:r w:rsidR="00FD1A2A">
        <w:rPr>
          <w:rStyle w:val="Accentuation"/>
        </w:rPr>
        <w:t>4</w:t>
      </w:r>
      <w:r w:rsidRPr="00FD1A2A">
        <w:rPr>
          <w:rStyle w:val="Accentuation"/>
        </w:rPr>
        <w:t xml:space="preserve"> (pour plus de précisions, voir le point « Logement » à la page </w:t>
      </w:r>
      <w:r w:rsidR="00351E0D" w:rsidRPr="00FD1A2A">
        <w:rPr>
          <w:rStyle w:val="Accentuation"/>
        </w:rPr>
        <w:t>3</w:t>
      </w:r>
      <w:r w:rsidR="00212434">
        <w:rPr>
          <w:rStyle w:val="Accentuation"/>
        </w:rPr>
        <w:t>4</w:t>
      </w:r>
      <w:r w:rsidRPr="00FD1A2A">
        <w:rPr>
          <w:rStyle w:val="Accentuation"/>
        </w:rPr>
        <w:t xml:space="preserve"> de ce Mémorandum). </w:t>
      </w:r>
    </w:p>
    <w:p w:rsidR="00CD5242" w:rsidRPr="00FD1A2A" w:rsidRDefault="00FD1A2A" w:rsidP="005F362C">
      <w:pPr>
        <w:pStyle w:val="Citationintense"/>
        <w:numPr>
          <w:ilvl w:val="0"/>
          <w:numId w:val="28"/>
        </w:numPr>
        <w:tabs>
          <w:tab w:val="clear" w:pos="1560"/>
          <w:tab w:val="clear" w:pos="1843"/>
          <w:tab w:val="clear" w:pos="2835"/>
        </w:tabs>
        <w:ind w:left="2410" w:firstLine="0"/>
        <w:rPr>
          <w:rStyle w:val="Accentuation"/>
        </w:rPr>
      </w:pPr>
      <w:r>
        <w:rPr>
          <w:rStyle w:val="Accentuation"/>
        </w:rPr>
        <w:t>Concernant les C</w:t>
      </w:r>
      <w:r w:rsidR="004E346E" w:rsidRPr="00FD1A2A">
        <w:rPr>
          <w:rStyle w:val="Accentuation"/>
        </w:rPr>
        <w:t xml:space="preserve">ommunautés : </w:t>
      </w:r>
      <w:r w:rsidR="00BC0AB7" w:rsidRPr="00FD1A2A">
        <w:rPr>
          <w:rStyle w:val="Accentuation"/>
        </w:rPr>
        <w:t>s</w:t>
      </w:r>
      <w:r>
        <w:rPr>
          <w:rStyle w:val="Accentuation"/>
        </w:rPr>
        <w:t>outenir la réalisation du B</w:t>
      </w:r>
      <w:r w:rsidR="004E346E" w:rsidRPr="00FD1A2A">
        <w:rPr>
          <w:rStyle w:val="Accentuation"/>
        </w:rPr>
        <w:t>aromètre de la diversité dans le secteur de l’enseignement (pour plus de précisions, voir le po</w:t>
      </w:r>
      <w:r w:rsidR="00351E0D" w:rsidRPr="00FD1A2A">
        <w:rPr>
          <w:rStyle w:val="Accentuation"/>
        </w:rPr>
        <w:t xml:space="preserve">int « Enseignement » à la page </w:t>
      </w:r>
      <w:r w:rsidR="00212434">
        <w:rPr>
          <w:rStyle w:val="Accentuation"/>
        </w:rPr>
        <w:t>30</w:t>
      </w:r>
      <w:r w:rsidR="004E346E" w:rsidRPr="00FD1A2A">
        <w:rPr>
          <w:rStyle w:val="Accentuation"/>
        </w:rPr>
        <w:t xml:space="preserve"> de ce Mémorandum)</w:t>
      </w:r>
    </w:p>
    <w:p w:rsidR="004E6A87" w:rsidRPr="00AA21B5" w:rsidRDefault="004E6A87" w:rsidP="00CD5242">
      <w:pPr>
        <w:pStyle w:val="Titre2"/>
        <w:spacing w:before="0"/>
        <w:jc w:val="both"/>
        <w:rPr>
          <w:rFonts w:asciiTheme="minorHAnsi" w:hAnsiTheme="minorHAnsi" w:cstheme="minorHAnsi"/>
          <w:lang w:val="fr-FR"/>
        </w:rPr>
      </w:pPr>
    </w:p>
    <w:p w:rsidR="005F362C" w:rsidRDefault="005F362C" w:rsidP="00E16323">
      <w:pPr>
        <w:pStyle w:val="Titre1"/>
        <w:ind w:left="0"/>
      </w:pPr>
      <w:bookmarkStart w:id="35" w:name="_Toc377028538"/>
      <w:bookmarkStart w:id="36" w:name="_Toc377030215"/>
    </w:p>
    <w:p w:rsidR="005F362C" w:rsidRDefault="005F362C">
      <w:pPr>
        <w:rPr>
          <w:rFonts w:asciiTheme="majorHAnsi" w:eastAsiaTheme="majorEastAsia" w:hAnsiTheme="majorHAnsi" w:cstheme="majorBidi"/>
          <w:smallCaps/>
          <w:color w:val="0F243E" w:themeColor="text2" w:themeShade="7F"/>
          <w:spacing w:val="20"/>
          <w:sz w:val="32"/>
          <w:szCs w:val="32"/>
        </w:rPr>
      </w:pPr>
      <w:r>
        <w:br w:type="page"/>
      </w:r>
    </w:p>
    <w:p w:rsidR="00C75578" w:rsidRPr="00CD5242" w:rsidRDefault="00C75578" w:rsidP="00E16323">
      <w:pPr>
        <w:pStyle w:val="Titre1"/>
        <w:ind w:left="0"/>
      </w:pPr>
      <w:r w:rsidRPr="00CD5242">
        <w:lastRenderedPageBreak/>
        <w:t>Intérieur</w:t>
      </w:r>
      <w:bookmarkEnd w:id="35"/>
      <w:bookmarkEnd w:id="36"/>
    </w:p>
    <w:p w:rsidR="005F540A" w:rsidRPr="00AA21B5" w:rsidRDefault="005F540A" w:rsidP="00AA21B5">
      <w:pPr>
        <w:spacing w:after="0" w:line="240" w:lineRule="auto"/>
        <w:jc w:val="both"/>
        <w:rPr>
          <w:rFonts w:cstheme="minorHAnsi"/>
          <w:lang w:val="fr-FR"/>
        </w:rPr>
      </w:pPr>
    </w:p>
    <w:p w:rsidR="00C75578" w:rsidRPr="00CD5242" w:rsidRDefault="00C75578" w:rsidP="00953B3E">
      <w:pPr>
        <w:pStyle w:val="Titre2"/>
        <w:ind w:left="0"/>
      </w:pPr>
      <w:bookmarkStart w:id="37" w:name="_Toc377028539"/>
      <w:bookmarkStart w:id="38" w:name="_Toc377030216"/>
      <w:r w:rsidRPr="00CD5242">
        <w:t>Police</w:t>
      </w:r>
      <w:bookmarkEnd w:id="37"/>
      <w:bookmarkEnd w:id="38"/>
      <w:r w:rsidRPr="00CD5242">
        <w:t xml:space="preserve"> </w:t>
      </w:r>
    </w:p>
    <w:p w:rsidR="00FE7912" w:rsidRPr="00CD5242" w:rsidRDefault="00FE7912" w:rsidP="00CD5242">
      <w:pPr>
        <w:pStyle w:val="Titre3"/>
      </w:pPr>
      <w:bookmarkStart w:id="39" w:name="_Toc377028540"/>
      <w:bookmarkStart w:id="40" w:name="_Toc377030217"/>
      <w:r w:rsidRPr="00CD5242">
        <w:t>Profilage ethnique</w:t>
      </w:r>
      <w:bookmarkEnd w:id="39"/>
      <w:bookmarkEnd w:id="40"/>
    </w:p>
    <w:p w:rsidR="00555DD9" w:rsidRPr="00AA21B5" w:rsidRDefault="00555DD9" w:rsidP="00AA21B5">
      <w:pPr>
        <w:pStyle w:val="Paragraphedeliste"/>
        <w:autoSpaceDE w:val="0"/>
        <w:autoSpaceDN w:val="0"/>
        <w:spacing w:after="0" w:line="240" w:lineRule="auto"/>
        <w:ind w:left="0"/>
        <w:contextualSpacing w:val="0"/>
        <w:jc w:val="both"/>
        <w:rPr>
          <w:rFonts w:cstheme="minorHAnsi"/>
          <w:lang w:val="fr-FR"/>
        </w:rPr>
      </w:pPr>
    </w:p>
    <w:p w:rsidR="00E16323" w:rsidRDefault="004B189C" w:rsidP="00A608DB">
      <w:pPr>
        <w:jc w:val="both"/>
        <w:rPr>
          <w:rFonts w:cstheme="minorHAnsi"/>
          <w:szCs w:val="24"/>
          <w:lang w:val="fr-FR"/>
        </w:rPr>
      </w:pPr>
      <w:r w:rsidRPr="00AA21B5">
        <w:rPr>
          <w:lang w:val="fr-FR"/>
        </w:rPr>
        <w:t xml:space="preserve">Les citoyens, les professionnels et la société sont de </w:t>
      </w:r>
      <w:r w:rsidRPr="00E16323">
        <w:rPr>
          <w:lang w:val="fr-FR"/>
        </w:rPr>
        <w:t>plus en plus souvent confrontés au phénomène du profilage ethnique</w:t>
      </w:r>
      <w:r w:rsidR="00BC0AB7" w:rsidRPr="00E16323">
        <w:rPr>
          <w:lang w:val="fr-FR"/>
        </w:rPr>
        <w:t xml:space="preserve">,  </w:t>
      </w:r>
      <w:r w:rsidR="003E0AEA" w:rsidRPr="00E16323">
        <w:rPr>
          <w:lang w:val="fr-FR"/>
        </w:rPr>
        <w:t>cette pratique</w:t>
      </w:r>
      <w:r w:rsidR="00BC0AB7" w:rsidRPr="00E16323">
        <w:rPr>
          <w:lang w:val="fr-FR"/>
        </w:rPr>
        <w:t xml:space="preserve"> qui consiste </w:t>
      </w:r>
      <w:r w:rsidR="00D044DB" w:rsidRPr="00E16323">
        <w:rPr>
          <w:lang w:val="fr-FR"/>
        </w:rPr>
        <w:t>à se baser sur l’apparence des individus, c’est-à-dire essentiellement sur la soi-disant race, l’ethnicité,  la religion ou  l’origine nationale, pour justifier des actions de lutte contre la criminalité (tels que des contrôles et fouilles, des arrestations,…)</w:t>
      </w:r>
      <w:r w:rsidR="00890E11">
        <w:rPr>
          <w:lang w:val="fr-FR"/>
        </w:rPr>
        <w:t>.</w:t>
      </w:r>
      <w:r w:rsidRPr="00E16323">
        <w:rPr>
          <w:lang w:val="fr-FR"/>
        </w:rPr>
        <w:t xml:space="preserve"> Tant le </w:t>
      </w:r>
      <w:r w:rsidR="00427664">
        <w:rPr>
          <w:lang w:val="fr-FR"/>
        </w:rPr>
        <w:t>Comité pour l’élimination</w:t>
      </w:r>
      <w:r w:rsidR="00BA150A">
        <w:rPr>
          <w:lang w:val="fr-FR"/>
        </w:rPr>
        <w:t xml:space="preserve"> de la discrimi</w:t>
      </w:r>
      <w:r w:rsidR="00427664">
        <w:rPr>
          <w:lang w:val="fr-FR"/>
        </w:rPr>
        <w:t>nation raciale (</w:t>
      </w:r>
      <w:r w:rsidRPr="00E16323">
        <w:rPr>
          <w:lang w:val="fr-FR"/>
        </w:rPr>
        <w:t>CERD</w:t>
      </w:r>
      <w:r w:rsidR="00427664">
        <w:rPr>
          <w:lang w:val="fr-FR"/>
        </w:rPr>
        <w:t>)</w:t>
      </w:r>
      <w:r w:rsidRPr="00E16323">
        <w:rPr>
          <w:lang w:val="fr-FR"/>
        </w:rPr>
        <w:t xml:space="preserve"> que </w:t>
      </w:r>
      <w:r w:rsidR="00BA150A">
        <w:rPr>
          <w:lang w:val="fr-FR"/>
        </w:rPr>
        <w:t>la Commission contre le racisme et l’intolérance (</w:t>
      </w:r>
      <w:r w:rsidRPr="00E16323">
        <w:rPr>
          <w:lang w:val="fr-FR"/>
        </w:rPr>
        <w:t>ECRI</w:t>
      </w:r>
      <w:r w:rsidR="00BA150A">
        <w:rPr>
          <w:lang w:val="fr-FR"/>
        </w:rPr>
        <w:t>)</w:t>
      </w:r>
      <w:r w:rsidRPr="00E16323">
        <w:rPr>
          <w:lang w:val="fr-FR"/>
        </w:rPr>
        <w:t xml:space="preserve"> soulignent que le profilage ethnique viole</w:t>
      </w:r>
      <w:r w:rsidRPr="00AA21B5">
        <w:rPr>
          <w:lang w:val="fr-FR"/>
        </w:rPr>
        <w:t xml:space="preserve"> l’interdiction internationale sur la discrimination.</w:t>
      </w:r>
      <w:r w:rsidRPr="00AA21B5">
        <w:rPr>
          <w:vertAlign w:val="superscript"/>
          <w:lang w:val="fr-FR"/>
        </w:rPr>
        <w:footnoteReference w:customMarkFollows="1" w:id="3"/>
        <w:t>[2]</w:t>
      </w:r>
      <w:r w:rsidR="00BA150A">
        <w:rPr>
          <w:vertAlign w:val="superscript"/>
          <w:lang w:val="fr-FR"/>
        </w:rPr>
        <w:t xml:space="preserve"> </w:t>
      </w:r>
      <w:r w:rsidRPr="00AA21B5">
        <w:rPr>
          <w:lang w:val="fr-FR"/>
        </w:rPr>
        <w:t>L</w:t>
      </w:r>
      <w:r w:rsidR="00BA150A">
        <w:rPr>
          <w:lang w:val="fr-FR"/>
        </w:rPr>
        <w:t>’</w:t>
      </w:r>
      <w:r w:rsidRPr="00AA21B5">
        <w:rPr>
          <w:lang w:val="fr-FR"/>
        </w:rPr>
        <w:t>a</w:t>
      </w:r>
      <w:r w:rsidR="00BA150A">
        <w:rPr>
          <w:lang w:val="fr-FR"/>
        </w:rPr>
        <w:t>gence des droits fondamentaux (</w:t>
      </w:r>
      <w:r w:rsidRPr="00AA21B5">
        <w:rPr>
          <w:lang w:val="fr-FR"/>
        </w:rPr>
        <w:t>FRA</w:t>
      </w:r>
      <w:r w:rsidR="00BA150A">
        <w:rPr>
          <w:lang w:val="fr-FR"/>
        </w:rPr>
        <w:t>)</w:t>
      </w:r>
      <w:r w:rsidRPr="00AA21B5">
        <w:rPr>
          <w:lang w:val="fr-FR"/>
        </w:rPr>
        <w:t>, la commission des droits de l’</w:t>
      </w:r>
      <w:r w:rsidR="003A33C6" w:rsidRPr="00AA21B5">
        <w:rPr>
          <w:lang w:val="fr-FR"/>
        </w:rPr>
        <w:t>H</w:t>
      </w:r>
      <w:r w:rsidRPr="00AA21B5">
        <w:rPr>
          <w:lang w:val="fr-FR"/>
        </w:rPr>
        <w:t>omme des Nations unies et la C</w:t>
      </w:r>
      <w:r w:rsidR="00BA150A">
        <w:rPr>
          <w:lang w:val="fr-FR"/>
        </w:rPr>
        <w:t>our européenne des droits de l’homme (C</w:t>
      </w:r>
      <w:r w:rsidRPr="00AA21B5">
        <w:rPr>
          <w:lang w:val="fr-FR"/>
        </w:rPr>
        <w:t>EDH</w:t>
      </w:r>
      <w:r w:rsidR="00BA150A">
        <w:rPr>
          <w:lang w:val="fr-FR"/>
        </w:rPr>
        <w:t>)</w:t>
      </w:r>
      <w:r w:rsidRPr="00AA21B5">
        <w:rPr>
          <w:lang w:val="fr-FR"/>
        </w:rPr>
        <w:t xml:space="preserve"> se sont également  exprimées sur le caractère discriminatoire de la pratique.</w:t>
      </w:r>
      <w:r w:rsidRPr="00AA21B5">
        <w:rPr>
          <w:vertAlign w:val="superscript"/>
          <w:lang w:val="fr-FR"/>
        </w:rPr>
        <w:footnoteReference w:customMarkFollows="1" w:id="4"/>
        <w:t xml:space="preserve">[3] </w:t>
      </w:r>
      <w:r w:rsidRPr="00AA21B5">
        <w:rPr>
          <w:lang w:val="fr-FR"/>
        </w:rPr>
        <w:t xml:space="preserve">Les lois nationales contiennent </w:t>
      </w:r>
      <w:r w:rsidR="00BC0AB7" w:rsidRPr="00AA21B5">
        <w:rPr>
          <w:lang w:val="fr-FR"/>
        </w:rPr>
        <w:t xml:space="preserve">déjà </w:t>
      </w:r>
      <w:r w:rsidRPr="00AA21B5">
        <w:rPr>
          <w:lang w:val="fr-FR"/>
        </w:rPr>
        <w:t xml:space="preserve">des articles qui interdisent la discrimination par le personnel de la fonction publique ou qui stipulent que la police doit toujours avoir une raison valable ou légitime pour procéder au contrôle de citoyens. </w:t>
      </w:r>
    </w:p>
    <w:p w:rsidR="00E16323" w:rsidRPr="00E16323" w:rsidRDefault="00E16323" w:rsidP="00E16323">
      <w:pPr>
        <w:pStyle w:val="Paragraphedeliste"/>
        <w:autoSpaceDE w:val="0"/>
        <w:autoSpaceDN w:val="0"/>
        <w:spacing w:after="0" w:line="240" w:lineRule="auto"/>
        <w:ind w:left="2124"/>
        <w:contextualSpacing w:val="0"/>
        <w:jc w:val="both"/>
        <w:rPr>
          <w:rFonts w:cstheme="minorHAnsi"/>
          <w:szCs w:val="24"/>
          <w:lang w:val="fr-FR"/>
        </w:rPr>
      </w:pPr>
    </w:p>
    <w:p w:rsidR="00CD5242" w:rsidRPr="00E16323" w:rsidRDefault="00807209" w:rsidP="00051B18">
      <w:pPr>
        <w:pStyle w:val="Citationintense"/>
      </w:pPr>
      <w:r w:rsidRPr="00E16323">
        <w:rPr>
          <w:rStyle w:val="Accentuation"/>
        </w:rPr>
        <w:t xml:space="preserve">Le Centre </w:t>
      </w:r>
      <w:r w:rsidR="0080243A" w:rsidRPr="00E16323">
        <w:rPr>
          <w:rStyle w:val="Accentuation"/>
        </w:rPr>
        <w:t xml:space="preserve">estime prioritaire d’étudier le </w:t>
      </w:r>
      <w:r w:rsidR="00AC6084" w:rsidRPr="00E16323">
        <w:rPr>
          <w:rStyle w:val="Accentuation"/>
        </w:rPr>
        <w:t>concept de profilage ethnique en collaboration avec la police</w:t>
      </w:r>
      <w:r w:rsidR="005465FA" w:rsidRPr="00E16323">
        <w:rPr>
          <w:rStyle w:val="Accentuation"/>
        </w:rPr>
        <w:t xml:space="preserve"> et </w:t>
      </w:r>
      <w:r w:rsidR="0080243A" w:rsidRPr="00E16323">
        <w:rPr>
          <w:rStyle w:val="Accentuation"/>
        </w:rPr>
        <w:t xml:space="preserve">de </w:t>
      </w:r>
      <w:r w:rsidRPr="00E16323">
        <w:rPr>
          <w:rStyle w:val="Accentuation"/>
        </w:rPr>
        <w:t xml:space="preserve">travailler à </w:t>
      </w:r>
      <w:r w:rsidR="004905A8" w:rsidRPr="00E16323">
        <w:rPr>
          <w:rStyle w:val="Accentuation"/>
        </w:rPr>
        <w:t xml:space="preserve">une </w:t>
      </w:r>
      <w:r w:rsidRPr="00E16323">
        <w:rPr>
          <w:rStyle w:val="Accentuation"/>
        </w:rPr>
        <w:t>compréhension</w:t>
      </w:r>
      <w:r w:rsidR="004905A8" w:rsidRPr="00E16323">
        <w:rPr>
          <w:rStyle w:val="Accentuation"/>
        </w:rPr>
        <w:t xml:space="preserve"> accrue </w:t>
      </w:r>
      <w:r w:rsidR="00212434">
        <w:rPr>
          <w:rStyle w:val="Accentuation"/>
        </w:rPr>
        <w:t xml:space="preserve">de ce phénomène </w:t>
      </w:r>
      <w:r w:rsidR="006408DF" w:rsidRPr="006408DF">
        <w:rPr>
          <w:rStyle w:val="Accentuation"/>
        </w:rPr>
        <w:t>(connaissance de ce mécanisme, des écueils, du cadre légal, des effets néfastes sur le dialogue avec le citoyen</w:t>
      </w:r>
      <w:r w:rsidR="006408DF">
        <w:rPr>
          <w:rStyle w:val="Accentuation"/>
        </w:rPr>
        <w:t>,</w:t>
      </w:r>
      <w:r w:rsidR="006408DF" w:rsidRPr="006408DF">
        <w:rPr>
          <w:rStyle w:val="Accentuation"/>
        </w:rPr>
        <w:t>…)</w:t>
      </w:r>
    </w:p>
    <w:p w:rsidR="00555DD9" w:rsidRPr="006408DF" w:rsidRDefault="00555DD9" w:rsidP="00AA21B5">
      <w:pPr>
        <w:spacing w:after="0" w:line="240" w:lineRule="auto"/>
        <w:jc w:val="both"/>
        <w:rPr>
          <w:rFonts w:cstheme="minorHAnsi"/>
        </w:rPr>
      </w:pPr>
    </w:p>
    <w:p w:rsidR="00E16323" w:rsidRDefault="00E16323" w:rsidP="00CD5242">
      <w:pPr>
        <w:pStyle w:val="Titre3"/>
        <w:rPr>
          <w:lang w:val="fr-FR"/>
        </w:rPr>
      </w:pPr>
      <w:bookmarkStart w:id="41" w:name="_Toc377028541"/>
      <w:bookmarkStart w:id="42" w:name="_Toc377030218"/>
    </w:p>
    <w:p w:rsidR="004905A8" w:rsidRPr="00AA21B5" w:rsidRDefault="004905A8" w:rsidP="00CD5242">
      <w:pPr>
        <w:pStyle w:val="Titre3"/>
        <w:rPr>
          <w:lang w:val="fr-FR"/>
        </w:rPr>
      </w:pPr>
      <w:r w:rsidRPr="00AA21B5">
        <w:rPr>
          <w:lang w:val="fr-FR"/>
        </w:rPr>
        <w:t xml:space="preserve">Convention </w:t>
      </w:r>
      <w:r w:rsidR="00A0556E" w:rsidRPr="00CD5242">
        <w:t>Police</w:t>
      </w:r>
      <w:r w:rsidRPr="00AA21B5">
        <w:rPr>
          <w:lang w:val="fr-FR"/>
        </w:rPr>
        <w:t xml:space="preserve"> – Centre pour l’égalité des chances</w:t>
      </w:r>
      <w:bookmarkEnd w:id="41"/>
      <w:bookmarkEnd w:id="42"/>
    </w:p>
    <w:p w:rsidR="00555DD9" w:rsidRPr="00AA21B5" w:rsidRDefault="00555DD9" w:rsidP="00AA21B5">
      <w:pPr>
        <w:spacing w:after="0" w:line="240" w:lineRule="auto"/>
        <w:ind w:firstLine="708"/>
        <w:jc w:val="both"/>
        <w:rPr>
          <w:rFonts w:cstheme="minorHAnsi"/>
          <w:lang w:val="fr-FR"/>
        </w:rPr>
      </w:pPr>
    </w:p>
    <w:p w:rsidR="008301E9" w:rsidRDefault="008301E9" w:rsidP="006408DF">
      <w:pPr>
        <w:spacing w:after="0"/>
        <w:jc w:val="both"/>
        <w:rPr>
          <w:rFonts w:eastAsia="Times New Roman"/>
        </w:rPr>
      </w:pPr>
      <w:r w:rsidRPr="00CC3F34">
        <w:rPr>
          <w:rStyle w:val="SansinterligneCar"/>
          <w:rFonts w:cstheme="minorHAnsi"/>
        </w:rPr>
        <w:t>Depuis 1996, une Convention régit un accord de coopération intensif entre la Police et le Centre. En 2011, cet accord a été conclu pour une durée indéterminée. Le Centre a ainsi pu développer en collaboration avec le Service égalité et diversité de la police</w:t>
      </w:r>
      <w:r w:rsidR="00D970F1" w:rsidRPr="00CC3F34">
        <w:rPr>
          <w:rStyle w:val="SansinterligneCar"/>
          <w:rFonts w:cstheme="minorHAnsi"/>
        </w:rPr>
        <w:t xml:space="preserve"> fédérale </w:t>
      </w:r>
      <w:r w:rsidRPr="00CC3F34">
        <w:rPr>
          <w:rStyle w:val="SansinterligneCar"/>
          <w:rFonts w:cstheme="minorHAnsi"/>
        </w:rPr>
        <w:t>(DSID) une vision à long terme pour les activités de suivi et les actions conjointes. Cette</w:t>
      </w:r>
      <w:r w:rsidRPr="00CC3F34">
        <w:rPr>
          <w:rStyle w:val="SansinterligneCar"/>
          <w:rFonts w:ascii="Arial" w:hAnsi="Arial" w:cs="Arial"/>
        </w:rPr>
        <w:t xml:space="preserve"> vision s’inscrit dans le cadre de politique de la lutte contre la discrimination et de la</w:t>
      </w:r>
      <w:r w:rsidRPr="00CC3F34">
        <w:rPr>
          <w:rFonts w:eastAsia="Times New Roman"/>
        </w:rPr>
        <w:t xml:space="preserve"> promotion de la diversité. </w:t>
      </w:r>
    </w:p>
    <w:p w:rsidR="006408DF" w:rsidRPr="00CC3F34" w:rsidRDefault="006408DF" w:rsidP="006408DF">
      <w:pPr>
        <w:spacing w:after="0"/>
        <w:jc w:val="both"/>
        <w:rPr>
          <w:rFonts w:eastAsia="Times New Roman"/>
        </w:rPr>
      </w:pPr>
    </w:p>
    <w:p w:rsidR="008301E9" w:rsidRDefault="008301E9" w:rsidP="006408DF">
      <w:pPr>
        <w:spacing w:after="0"/>
        <w:jc w:val="both"/>
        <w:rPr>
          <w:lang w:val="fr-FR"/>
        </w:rPr>
      </w:pPr>
      <w:r w:rsidRPr="00AA21B5">
        <w:rPr>
          <w:lang w:val="fr-FR"/>
        </w:rPr>
        <w:t xml:space="preserve">Le partenariat entre la Police et le Centre comprend trois piliers essentiels : </w:t>
      </w:r>
    </w:p>
    <w:p w:rsidR="00CC3F34" w:rsidRPr="00AA21B5" w:rsidRDefault="00CC3F34" w:rsidP="00CD5242">
      <w:pPr>
        <w:spacing w:after="0" w:line="240" w:lineRule="auto"/>
        <w:jc w:val="both"/>
        <w:rPr>
          <w:rFonts w:cstheme="minorHAnsi"/>
          <w:szCs w:val="24"/>
          <w:lang w:val="fr-FR"/>
        </w:rPr>
      </w:pPr>
    </w:p>
    <w:p w:rsidR="008301E9" w:rsidRPr="001305BA" w:rsidRDefault="008301E9" w:rsidP="001305BA">
      <w:pPr>
        <w:pStyle w:val="Paragraphedeliste"/>
        <w:numPr>
          <w:ilvl w:val="0"/>
          <w:numId w:val="29"/>
        </w:numPr>
        <w:jc w:val="both"/>
        <w:rPr>
          <w:lang w:val="fr-FR"/>
        </w:rPr>
      </w:pPr>
      <w:r w:rsidRPr="001305BA">
        <w:rPr>
          <w:lang w:val="fr-FR"/>
        </w:rPr>
        <w:t xml:space="preserve">des formations à la diversité </w:t>
      </w:r>
    </w:p>
    <w:p w:rsidR="008301E9" w:rsidRPr="001305BA" w:rsidRDefault="008301E9" w:rsidP="001305BA">
      <w:pPr>
        <w:pStyle w:val="Paragraphedeliste"/>
        <w:numPr>
          <w:ilvl w:val="0"/>
          <w:numId w:val="29"/>
        </w:numPr>
        <w:jc w:val="both"/>
        <w:rPr>
          <w:lang w:val="fr-FR"/>
        </w:rPr>
      </w:pPr>
      <w:r w:rsidRPr="001305BA">
        <w:rPr>
          <w:lang w:val="fr-FR"/>
        </w:rPr>
        <w:t>un soutien au réseau diversité de la police intégrée fédérale</w:t>
      </w:r>
    </w:p>
    <w:p w:rsidR="008301E9" w:rsidRPr="001305BA" w:rsidRDefault="008301E9" w:rsidP="001305BA">
      <w:pPr>
        <w:pStyle w:val="Paragraphedeliste"/>
        <w:numPr>
          <w:ilvl w:val="0"/>
          <w:numId w:val="29"/>
        </w:numPr>
        <w:jc w:val="both"/>
        <w:rPr>
          <w:lang w:val="fr-FR"/>
        </w:rPr>
      </w:pPr>
      <w:r w:rsidRPr="001305BA">
        <w:rPr>
          <w:lang w:val="fr-FR"/>
        </w:rPr>
        <w:t xml:space="preserve">un soutien aux projets de diversité structurels. </w:t>
      </w:r>
    </w:p>
    <w:p w:rsidR="00E16323" w:rsidRDefault="009945A2" w:rsidP="00A608DB">
      <w:pPr>
        <w:jc w:val="both"/>
        <w:rPr>
          <w:rFonts w:cstheme="minorHAnsi"/>
          <w:szCs w:val="24"/>
          <w:lang w:val="fr-FR"/>
        </w:rPr>
      </w:pPr>
      <w:r w:rsidRPr="00AA21B5">
        <w:rPr>
          <w:lang w:val="fr-FR"/>
        </w:rPr>
        <w:t>Cette approche globale plurielle et intégrée est nécessaire pour travailler de manière structurelle et durable à davantage de diversité et à la lutte contre la discrimination. Les trois piliers sont complémentaires et offrent une plus-value indéniable pou</w:t>
      </w:r>
      <w:r w:rsidR="00E16323">
        <w:rPr>
          <w:lang w:val="fr-FR"/>
        </w:rPr>
        <w:t xml:space="preserve">r la collaboration. </w:t>
      </w:r>
    </w:p>
    <w:p w:rsidR="00E16323" w:rsidRPr="00E16323" w:rsidRDefault="00E16323" w:rsidP="00E16323">
      <w:pPr>
        <w:widowControl w:val="0"/>
        <w:suppressAutoHyphens/>
        <w:spacing w:after="0" w:line="240" w:lineRule="auto"/>
        <w:jc w:val="both"/>
        <w:rPr>
          <w:rFonts w:cstheme="minorHAnsi"/>
          <w:szCs w:val="24"/>
          <w:lang w:val="fr-FR"/>
        </w:rPr>
      </w:pPr>
    </w:p>
    <w:p w:rsidR="00EF074A" w:rsidRPr="00E16323" w:rsidRDefault="0004360C" w:rsidP="00051B18">
      <w:pPr>
        <w:pStyle w:val="Citationintense"/>
        <w:rPr>
          <w:rStyle w:val="Accentuation"/>
        </w:rPr>
      </w:pPr>
      <w:r w:rsidRPr="00E16323">
        <w:rPr>
          <w:rStyle w:val="Accentuation"/>
        </w:rPr>
        <w:t>Le Centre</w:t>
      </w:r>
      <w:r w:rsidR="005D04C2" w:rsidRPr="00E16323">
        <w:rPr>
          <w:rStyle w:val="Accentuation"/>
        </w:rPr>
        <w:t xml:space="preserve"> </w:t>
      </w:r>
      <w:r w:rsidR="0080243A" w:rsidRPr="00E16323">
        <w:rPr>
          <w:rStyle w:val="Accentuation"/>
        </w:rPr>
        <w:t>préconise</w:t>
      </w:r>
      <w:r w:rsidR="005D04C2" w:rsidRPr="00E16323">
        <w:rPr>
          <w:rStyle w:val="Accentuation"/>
        </w:rPr>
        <w:t xml:space="preserve"> </w:t>
      </w:r>
      <w:r w:rsidR="005465FA" w:rsidRPr="00E16323">
        <w:rPr>
          <w:rStyle w:val="Accentuation"/>
        </w:rPr>
        <w:t xml:space="preserve">un investissement </w:t>
      </w:r>
      <w:r w:rsidR="00EF074A" w:rsidRPr="00E16323">
        <w:rPr>
          <w:rStyle w:val="Accentuation"/>
        </w:rPr>
        <w:t xml:space="preserve"> complémentaire</w:t>
      </w:r>
      <w:r w:rsidR="0080243A" w:rsidRPr="00E16323">
        <w:rPr>
          <w:rStyle w:val="Accentuation"/>
        </w:rPr>
        <w:t xml:space="preserve"> </w:t>
      </w:r>
      <w:r w:rsidR="005F59C6" w:rsidRPr="00E16323">
        <w:rPr>
          <w:rStyle w:val="Accentuation"/>
        </w:rPr>
        <w:t xml:space="preserve">et à long terme </w:t>
      </w:r>
      <w:r w:rsidR="005465FA" w:rsidRPr="00E16323">
        <w:rPr>
          <w:rStyle w:val="Accentuation"/>
        </w:rPr>
        <w:t>sur la Convention</w:t>
      </w:r>
      <w:r w:rsidR="005F59C6" w:rsidRPr="00E16323">
        <w:rPr>
          <w:rStyle w:val="Accentuation"/>
        </w:rPr>
        <w:t xml:space="preserve"> </w:t>
      </w:r>
      <w:r w:rsidR="005D04C2" w:rsidRPr="00E16323">
        <w:rPr>
          <w:rStyle w:val="Accentuation"/>
        </w:rPr>
        <w:t>avec la police intégrée fédérale</w:t>
      </w:r>
      <w:r w:rsidR="005465FA" w:rsidRPr="00E16323">
        <w:rPr>
          <w:rStyle w:val="Accentuation"/>
        </w:rPr>
        <w:t xml:space="preserve"> </w:t>
      </w:r>
      <w:r w:rsidRPr="00E16323">
        <w:rPr>
          <w:rStyle w:val="Accentuation"/>
        </w:rPr>
        <w:t xml:space="preserve">afin de </w:t>
      </w:r>
      <w:r w:rsidR="00EF074A" w:rsidRPr="00E16323">
        <w:rPr>
          <w:rStyle w:val="Accentuation"/>
        </w:rPr>
        <w:t>renforce</w:t>
      </w:r>
      <w:r w:rsidRPr="00E16323">
        <w:rPr>
          <w:rStyle w:val="Accentuation"/>
        </w:rPr>
        <w:t>r</w:t>
      </w:r>
      <w:r w:rsidR="00EF074A" w:rsidRPr="00E16323">
        <w:rPr>
          <w:rStyle w:val="Accentuation"/>
        </w:rPr>
        <w:t xml:space="preserve"> la plus-value structurelle et durable de l’accord de coopération existant. </w:t>
      </w:r>
    </w:p>
    <w:p w:rsidR="00CD5242" w:rsidRPr="00E16323" w:rsidRDefault="005F59C6" w:rsidP="00051B18">
      <w:pPr>
        <w:pStyle w:val="Citationintense"/>
      </w:pPr>
      <w:r w:rsidRPr="00E16323">
        <w:rPr>
          <w:rStyle w:val="Accentuation"/>
        </w:rPr>
        <w:t xml:space="preserve">Il </w:t>
      </w:r>
      <w:r w:rsidR="005D04C2" w:rsidRPr="00E16323">
        <w:rPr>
          <w:rStyle w:val="Accentuation"/>
        </w:rPr>
        <w:t>souhaite également d</w:t>
      </w:r>
      <w:r w:rsidR="005244D8" w:rsidRPr="00E16323">
        <w:rPr>
          <w:rStyle w:val="Accentuation"/>
        </w:rPr>
        <w:t xml:space="preserve">onner priorité </w:t>
      </w:r>
      <w:r w:rsidR="00D044DB" w:rsidRPr="00E16323">
        <w:rPr>
          <w:rStyle w:val="Accentuation"/>
        </w:rPr>
        <w:t xml:space="preserve">à </w:t>
      </w:r>
      <w:r w:rsidRPr="00E16323">
        <w:rPr>
          <w:rStyle w:val="Accentuation"/>
        </w:rPr>
        <w:t xml:space="preserve">et investir </w:t>
      </w:r>
      <w:r w:rsidR="00D044DB" w:rsidRPr="00E16323">
        <w:rPr>
          <w:rStyle w:val="Accentuation"/>
        </w:rPr>
        <w:t xml:space="preserve">dans </w:t>
      </w:r>
      <w:r w:rsidR="005244D8" w:rsidRPr="00E16323">
        <w:rPr>
          <w:rStyle w:val="Accentuation"/>
        </w:rPr>
        <w:t>l’impl</w:t>
      </w:r>
      <w:r w:rsidR="00BA150A">
        <w:rPr>
          <w:rStyle w:val="Accentuation"/>
        </w:rPr>
        <w:t xml:space="preserve">émentation </w:t>
      </w:r>
      <w:r w:rsidR="005244D8" w:rsidRPr="00E16323">
        <w:rPr>
          <w:rStyle w:val="Accentuation"/>
        </w:rPr>
        <w:t xml:space="preserve"> transversale de la thématique de la diversité </w:t>
      </w:r>
      <w:r w:rsidR="00D044DB" w:rsidRPr="00E16323">
        <w:rPr>
          <w:rStyle w:val="Accentuation"/>
        </w:rPr>
        <w:t>au sein du travail de</w:t>
      </w:r>
      <w:r w:rsidR="005244D8" w:rsidRPr="00E16323">
        <w:rPr>
          <w:rStyle w:val="Accentuation"/>
        </w:rPr>
        <w:t xml:space="preserve"> la Police</w:t>
      </w:r>
      <w:r w:rsidR="00D044DB" w:rsidRPr="00E16323">
        <w:rPr>
          <w:rStyle w:val="Accentuation"/>
        </w:rPr>
        <w:t xml:space="preserve"> et de ses différentes articulations</w:t>
      </w:r>
      <w:r w:rsidR="005244D8" w:rsidRPr="00E16323">
        <w:rPr>
          <w:rStyle w:val="Accentuation"/>
        </w:rPr>
        <w:t>.</w:t>
      </w:r>
    </w:p>
    <w:p w:rsidR="00555DD9" w:rsidRPr="00AA21B5" w:rsidRDefault="00555DD9" w:rsidP="00AA21B5">
      <w:pPr>
        <w:spacing w:after="0" w:line="240" w:lineRule="auto"/>
        <w:jc w:val="both"/>
        <w:rPr>
          <w:rFonts w:cstheme="minorHAnsi"/>
          <w:lang w:val="fr-FR"/>
        </w:rPr>
      </w:pPr>
    </w:p>
    <w:p w:rsidR="005244D8" w:rsidRPr="00CD5242" w:rsidRDefault="005244D8" w:rsidP="00953B3E">
      <w:pPr>
        <w:pStyle w:val="Titre2"/>
        <w:ind w:left="0"/>
      </w:pPr>
      <w:bookmarkStart w:id="43" w:name="_Toc377028542"/>
      <w:bookmarkStart w:id="44" w:name="_Toc377030219"/>
      <w:r w:rsidRPr="00CD5242">
        <w:t>Migration</w:t>
      </w:r>
      <w:bookmarkEnd w:id="43"/>
      <w:bookmarkEnd w:id="44"/>
    </w:p>
    <w:p w:rsidR="005244D8" w:rsidRPr="00CD5242" w:rsidRDefault="005244D8" w:rsidP="00CD5242">
      <w:pPr>
        <w:pStyle w:val="Titre3"/>
      </w:pPr>
      <w:bookmarkStart w:id="45" w:name="_Toc377028543"/>
      <w:bookmarkStart w:id="46" w:name="_Toc377030220"/>
      <w:r w:rsidRPr="00CD5242">
        <w:t>Etudes et analyses : chiffrage des tendances migratoires et suivi longitudinal</w:t>
      </w:r>
      <w:bookmarkEnd w:id="45"/>
      <w:bookmarkEnd w:id="46"/>
    </w:p>
    <w:p w:rsidR="00B00354" w:rsidRPr="00AA21B5" w:rsidRDefault="00B00354" w:rsidP="00AA21B5">
      <w:pPr>
        <w:spacing w:after="0" w:line="240" w:lineRule="auto"/>
        <w:jc w:val="both"/>
        <w:rPr>
          <w:rFonts w:cstheme="minorHAnsi"/>
          <w:lang w:val="fr-FR"/>
        </w:rPr>
      </w:pPr>
    </w:p>
    <w:p w:rsidR="008C3036" w:rsidRDefault="005D04C2" w:rsidP="00E92926">
      <w:pPr>
        <w:jc w:val="both"/>
        <w:rPr>
          <w:lang w:val="fr-FR"/>
        </w:rPr>
      </w:pPr>
      <w:r w:rsidRPr="00AA21B5">
        <w:rPr>
          <w:lang w:val="fr-FR"/>
        </w:rPr>
        <w:t>D</w:t>
      </w:r>
      <w:r w:rsidR="008C3036" w:rsidRPr="00AA21B5">
        <w:rPr>
          <w:lang w:val="fr-FR"/>
        </w:rPr>
        <w:t>epuis des années</w:t>
      </w:r>
      <w:r w:rsidRPr="00AA21B5">
        <w:rPr>
          <w:lang w:val="fr-FR"/>
        </w:rPr>
        <w:t>, la migration est</w:t>
      </w:r>
      <w:r w:rsidR="008C3036" w:rsidRPr="00AA21B5">
        <w:rPr>
          <w:lang w:val="fr-FR"/>
        </w:rPr>
        <w:t xml:space="preserve"> de loin le facteur prédominant des développements démographiques. Le solde migratoire est en effet un multiple du solde naturel. À la lumière du vieillissement de la population, il s’agit d’une chance mais, simultanément, l’impact sur le logement, l’enseignement et le travail est très important. D’un point de vue sociétal, l’importance d’une connaissance </w:t>
      </w:r>
      <w:r w:rsidR="0072786E" w:rsidRPr="00AA21B5">
        <w:rPr>
          <w:lang w:val="fr-FR"/>
        </w:rPr>
        <w:t xml:space="preserve">approfondie </w:t>
      </w:r>
      <w:r w:rsidR="008C3036" w:rsidRPr="00AA21B5">
        <w:rPr>
          <w:lang w:val="fr-FR"/>
        </w:rPr>
        <w:t xml:space="preserve">du phénomène migratoire – dans tous ses aspects – </w:t>
      </w:r>
      <w:r w:rsidR="00E32AF9" w:rsidRPr="00AA21B5">
        <w:rPr>
          <w:lang w:val="fr-FR"/>
        </w:rPr>
        <w:t>est donc loin d’être négligeable.</w:t>
      </w:r>
      <w:r w:rsidR="008C3036" w:rsidRPr="00AA21B5">
        <w:rPr>
          <w:lang w:val="fr-FR"/>
        </w:rPr>
        <w:t xml:space="preserve"> Pourtant, force nous est de constater qu’en Belgique, </w:t>
      </w:r>
      <w:r w:rsidR="008C3036" w:rsidRPr="00AA21B5">
        <w:rPr>
          <w:b/>
          <w:lang w:val="fr-FR"/>
        </w:rPr>
        <w:t>nous ne sommes pas encore en mesure de chiffrer les tendances migratoires de manière suffisamment détaillée</w:t>
      </w:r>
      <w:r w:rsidR="008C3036" w:rsidRPr="00AA21B5">
        <w:rPr>
          <w:lang w:val="fr-FR"/>
        </w:rPr>
        <w:t>. Nous savons</w:t>
      </w:r>
      <w:r w:rsidRPr="00AA21B5">
        <w:rPr>
          <w:lang w:val="fr-FR"/>
        </w:rPr>
        <w:t>,</w:t>
      </w:r>
      <w:r w:rsidR="008C3036" w:rsidRPr="00AA21B5">
        <w:rPr>
          <w:lang w:val="fr-FR"/>
        </w:rPr>
        <w:t xml:space="preserve"> par exemple</w:t>
      </w:r>
      <w:r w:rsidRPr="00AA21B5">
        <w:rPr>
          <w:lang w:val="fr-FR"/>
        </w:rPr>
        <w:t>,</w:t>
      </w:r>
      <w:r w:rsidR="008C3036" w:rsidRPr="00AA21B5">
        <w:rPr>
          <w:lang w:val="fr-FR"/>
        </w:rPr>
        <w:t xml:space="preserve"> qu’une grande part</w:t>
      </w:r>
      <w:r w:rsidRPr="00AA21B5">
        <w:rPr>
          <w:lang w:val="fr-FR"/>
        </w:rPr>
        <w:t>ie</w:t>
      </w:r>
      <w:r w:rsidR="008C3036" w:rsidRPr="00AA21B5">
        <w:rPr>
          <w:lang w:val="fr-FR"/>
        </w:rPr>
        <w:t xml:space="preserve"> de</w:t>
      </w:r>
      <w:r w:rsidRPr="00AA21B5">
        <w:rPr>
          <w:lang w:val="fr-FR"/>
        </w:rPr>
        <w:t>s</w:t>
      </w:r>
      <w:r w:rsidR="008C3036" w:rsidRPr="00AA21B5">
        <w:rPr>
          <w:lang w:val="fr-FR"/>
        </w:rPr>
        <w:t xml:space="preserve"> migrants arrivent en Belgique dans le cadre du regroupement familial, mais que savons-nous de plus sur ce groupe ? Nous ne sommes pas </w:t>
      </w:r>
      <w:r w:rsidRPr="00AA21B5">
        <w:rPr>
          <w:lang w:val="fr-FR"/>
        </w:rPr>
        <w:t xml:space="preserve">à même </w:t>
      </w:r>
      <w:r w:rsidR="008C3036" w:rsidRPr="00AA21B5">
        <w:rPr>
          <w:lang w:val="fr-FR"/>
        </w:rPr>
        <w:t>d’indiquer quelle proportion de ces migrants travaille ou étudie ici. Et que savons-nous de l’afflux important de ressortissants d’autres États membres de l’UE ? En ce qui concerne les chiffres dont nous disposons</w:t>
      </w:r>
      <w:r w:rsidR="006408DF">
        <w:rPr>
          <w:lang w:val="fr-FR"/>
        </w:rPr>
        <w:t xml:space="preserve"> actuellement</w:t>
      </w:r>
      <w:r w:rsidR="008C3036" w:rsidRPr="00AA21B5">
        <w:rPr>
          <w:lang w:val="fr-FR"/>
        </w:rPr>
        <w:t>, un très grand nombre de questions méthodologiques et techniques compliquent l’interprétation.  </w:t>
      </w:r>
    </w:p>
    <w:p w:rsidR="006924A8" w:rsidRDefault="00F04E58" w:rsidP="00212434">
      <w:pPr>
        <w:jc w:val="both"/>
        <w:rPr>
          <w:rFonts w:cstheme="minorHAnsi"/>
          <w:color w:val="000000"/>
          <w:szCs w:val="24"/>
          <w:lang w:val="fr-FR"/>
        </w:rPr>
      </w:pPr>
      <w:r w:rsidRPr="00AA21B5">
        <w:rPr>
          <w:lang w:val="fr-FR"/>
        </w:rPr>
        <w:t>Chiffrer et observer la migration dans tous ses aspects est primordial pour pouvoir estimer et aborder les défis sur le plan du vieillissement et d</w:t>
      </w:r>
      <w:r w:rsidR="0042508B" w:rsidRPr="00AA21B5">
        <w:rPr>
          <w:lang w:val="fr-FR"/>
        </w:rPr>
        <w:t>e l'</w:t>
      </w:r>
      <w:proofErr w:type="spellStart"/>
      <w:r w:rsidR="0042508B" w:rsidRPr="00AA21B5">
        <w:rPr>
          <w:lang w:val="fr-FR"/>
        </w:rPr>
        <w:t>ethnostratification</w:t>
      </w:r>
      <w:proofErr w:type="spellEnd"/>
      <w:r w:rsidRPr="00AA21B5">
        <w:rPr>
          <w:lang w:val="fr-FR"/>
        </w:rPr>
        <w:t xml:space="preserve">. Le Centre plaide dès lors pour des </w:t>
      </w:r>
      <w:r w:rsidRPr="00AA21B5">
        <w:rPr>
          <w:b/>
          <w:lang w:val="fr-FR"/>
        </w:rPr>
        <w:t>instruments permettant l’</w:t>
      </w:r>
      <w:proofErr w:type="spellStart"/>
      <w:r w:rsidRPr="00AA21B5">
        <w:rPr>
          <w:b/>
          <w:i/>
          <w:lang w:val="fr-FR"/>
        </w:rPr>
        <w:t>evidence-based</w:t>
      </w:r>
      <w:proofErr w:type="spellEnd"/>
      <w:r w:rsidRPr="00AA21B5">
        <w:rPr>
          <w:b/>
          <w:i/>
          <w:lang w:val="fr-FR"/>
        </w:rPr>
        <w:t xml:space="preserve"> </w:t>
      </w:r>
      <w:proofErr w:type="spellStart"/>
      <w:r w:rsidRPr="00AA21B5">
        <w:rPr>
          <w:b/>
          <w:i/>
          <w:lang w:val="fr-FR"/>
        </w:rPr>
        <w:t>policy</w:t>
      </w:r>
      <w:proofErr w:type="spellEnd"/>
      <w:r w:rsidRPr="00AA21B5">
        <w:rPr>
          <w:b/>
          <w:i/>
          <w:lang w:val="fr-FR"/>
        </w:rPr>
        <w:t xml:space="preserve"> </w:t>
      </w:r>
      <w:proofErr w:type="spellStart"/>
      <w:r w:rsidRPr="00AA21B5">
        <w:rPr>
          <w:b/>
          <w:i/>
          <w:lang w:val="fr-FR"/>
        </w:rPr>
        <w:t>making</w:t>
      </w:r>
      <w:proofErr w:type="spellEnd"/>
      <w:r w:rsidRPr="00AA21B5">
        <w:rPr>
          <w:b/>
          <w:i/>
          <w:lang w:val="fr-FR"/>
        </w:rPr>
        <w:t> </w:t>
      </w:r>
      <w:r w:rsidRPr="00AA21B5">
        <w:rPr>
          <w:lang w:val="fr-FR"/>
        </w:rPr>
        <w:t>au niveau de la politique d’asile et de migration.</w:t>
      </w:r>
    </w:p>
    <w:p w:rsidR="006924A8" w:rsidRPr="006924A8" w:rsidRDefault="006924A8" w:rsidP="006924A8">
      <w:pPr>
        <w:shd w:val="clear" w:color="auto" w:fill="FFFFFF"/>
        <w:spacing w:after="0" w:line="240" w:lineRule="auto"/>
        <w:jc w:val="both"/>
        <w:rPr>
          <w:rFonts w:cstheme="minorHAnsi"/>
          <w:color w:val="000000"/>
          <w:szCs w:val="24"/>
          <w:lang w:val="fr-FR"/>
        </w:rPr>
      </w:pPr>
    </w:p>
    <w:p w:rsidR="00CD5242" w:rsidRDefault="005F59C6" w:rsidP="00051B18">
      <w:pPr>
        <w:pStyle w:val="Citationintense"/>
        <w:rPr>
          <w:rStyle w:val="Accentuation"/>
        </w:rPr>
      </w:pPr>
      <w:r w:rsidRPr="006924A8">
        <w:rPr>
          <w:rStyle w:val="Accentuation"/>
        </w:rPr>
        <w:t xml:space="preserve">Le Centre </w:t>
      </w:r>
      <w:r w:rsidR="0080243A" w:rsidRPr="006924A8">
        <w:rPr>
          <w:rStyle w:val="Accentuation"/>
        </w:rPr>
        <w:t>recommande</w:t>
      </w:r>
      <w:r w:rsidRPr="006924A8">
        <w:rPr>
          <w:rStyle w:val="Accentuation"/>
        </w:rPr>
        <w:t xml:space="preserve">, d’une part, </w:t>
      </w:r>
      <w:r w:rsidR="005D04C2" w:rsidRPr="006924A8">
        <w:rPr>
          <w:rStyle w:val="Accentuation"/>
        </w:rPr>
        <w:t>qu’</w:t>
      </w:r>
      <w:r w:rsidR="00AE607A" w:rsidRPr="006924A8">
        <w:rPr>
          <w:rStyle w:val="Accentuation"/>
        </w:rPr>
        <w:t>une collecte de données la plus complète et la plus détaillée possible</w:t>
      </w:r>
      <w:r w:rsidR="00C80A4D" w:rsidRPr="006924A8">
        <w:rPr>
          <w:rStyle w:val="Accentuation"/>
        </w:rPr>
        <w:t xml:space="preserve"> </w:t>
      </w:r>
      <w:r w:rsidR="00C80A4D" w:rsidRPr="006924A8">
        <w:rPr>
          <w:rStyle w:val="Accentuation"/>
        </w:rPr>
        <w:lastRenderedPageBreak/>
        <w:t>soit réal</w:t>
      </w:r>
      <w:r w:rsidR="005D04C2" w:rsidRPr="006924A8">
        <w:rPr>
          <w:rStyle w:val="Accentuation"/>
        </w:rPr>
        <w:t>i</w:t>
      </w:r>
      <w:r w:rsidR="00C80A4D" w:rsidRPr="006924A8">
        <w:rPr>
          <w:rStyle w:val="Accentuation"/>
        </w:rPr>
        <w:t>s</w:t>
      </w:r>
      <w:r w:rsidR="005D04C2" w:rsidRPr="006924A8">
        <w:rPr>
          <w:rStyle w:val="Accentuation"/>
        </w:rPr>
        <w:t>ée et</w:t>
      </w:r>
      <w:r w:rsidRPr="006924A8">
        <w:rPr>
          <w:rStyle w:val="Accentuation"/>
        </w:rPr>
        <w:t xml:space="preserve">, d’autre </w:t>
      </w:r>
      <w:r w:rsidR="003E0AEA" w:rsidRPr="006924A8">
        <w:rPr>
          <w:rStyle w:val="Accentuation"/>
        </w:rPr>
        <w:t>part qu’il</w:t>
      </w:r>
      <w:r w:rsidR="005D04C2" w:rsidRPr="006924A8">
        <w:rPr>
          <w:rStyle w:val="Accentuation"/>
        </w:rPr>
        <w:t xml:space="preserve"> y </w:t>
      </w:r>
      <w:r w:rsidR="003E0AEA" w:rsidRPr="006924A8">
        <w:rPr>
          <w:rStyle w:val="Accentuation"/>
        </w:rPr>
        <w:t>ait une</w:t>
      </w:r>
      <w:r w:rsidR="00AE607A" w:rsidRPr="006924A8">
        <w:rPr>
          <w:rStyle w:val="Accentuation"/>
        </w:rPr>
        <w:t xml:space="preserve"> concertation régulière de tous les acteurs qui gèrent ou traitent des sources de données sur les meilleures possibilités de </w:t>
      </w:r>
      <w:r w:rsidR="0072786E" w:rsidRPr="006924A8">
        <w:rPr>
          <w:rStyle w:val="Accentuation"/>
        </w:rPr>
        <w:t>rapportage</w:t>
      </w:r>
      <w:r w:rsidR="00AE607A" w:rsidRPr="006924A8">
        <w:rPr>
          <w:rStyle w:val="Accentuation"/>
        </w:rPr>
        <w:t xml:space="preserve"> sur la migration.</w:t>
      </w:r>
    </w:p>
    <w:p w:rsidR="00CD5242" w:rsidRDefault="00CD5242" w:rsidP="00AA21B5">
      <w:pPr>
        <w:shd w:val="clear" w:color="auto" w:fill="FFFFFF"/>
        <w:spacing w:after="0" w:line="240" w:lineRule="auto"/>
        <w:jc w:val="both"/>
        <w:rPr>
          <w:rFonts w:cstheme="minorHAnsi"/>
          <w:color w:val="000000"/>
          <w:szCs w:val="24"/>
          <w:lang w:val="fr-FR"/>
        </w:rPr>
      </w:pPr>
    </w:p>
    <w:p w:rsidR="00CD5242" w:rsidRDefault="00D951A4" w:rsidP="00E92926">
      <w:pPr>
        <w:jc w:val="both"/>
        <w:rPr>
          <w:lang w:val="fr-FR"/>
        </w:rPr>
      </w:pPr>
      <w:r w:rsidRPr="00AA21B5">
        <w:rPr>
          <w:lang w:val="fr-FR"/>
        </w:rPr>
        <w:t>De la sorte, les décideurs devraient pouvoir disposer d’informations pertinentes sur la migration en vue d’élaborer leurs décisions.</w:t>
      </w:r>
    </w:p>
    <w:p w:rsidR="006924A8" w:rsidRPr="006924A8" w:rsidRDefault="006924A8" w:rsidP="006924A8">
      <w:pPr>
        <w:shd w:val="clear" w:color="auto" w:fill="FFFFFF"/>
        <w:spacing w:after="0" w:line="240" w:lineRule="auto"/>
        <w:jc w:val="both"/>
        <w:rPr>
          <w:rFonts w:cstheme="minorHAnsi"/>
          <w:color w:val="000000"/>
          <w:szCs w:val="24"/>
          <w:lang w:val="fr-FR"/>
        </w:rPr>
      </w:pPr>
    </w:p>
    <w:p w:rsidR="00CD5242" w:rsidRDefault="003E0AEA" w:rsidP="00051B18">
      <w:pPr>
        <w:pStyle w:val="Citationintense"/>
        <w:rPr>
          <w:rStyle w:val="Accentuation"/>
        </w:rPr>
      </w:pPr>
      <w:r w:rsidRPr="006924A8">
        <w:rPr>
          <w:rStyle w:val="Accentuation"/>
        </w:rPr>
        <w:t>Si un problème devait être diagnostiqué, le Centre estime que l’introduction (consécutive) de mesures doit s’accompagner d’une mesure zéro, d’un suivi et d’une mesure de l’impact.</w:t>
      </w:r>
    </w:p>
    <w:p w:rsidR="00CD5242" w:rsidRDefault="00CD5242" w:rsidP="00AA21B5">
      <w:pPr>
        <w:shd w:val="clear" w:color="auto" w:fill="FFFFFF"/>
        <w:spacing w:after="0" w:line="240" w:lineRule="auto"/>
        <w:jc w:val="both"/>
        <w:rPr>
          <w:rFonts w:cstheme="minorHAnsi"/>
          <w:color w:val="000000"/>
          <w:szCs w:val="24"/>
          <w:lang w:val="fr-FR"/>
        </w:rPr>
      </w:pPr>
    </w:p>
    <w:p w:rsidR="00CD5242" w:rsidRDefault="00C80A4D" w:rsidP="00E92926">
      <w:pPr>
        <w:jc w:val="both"/>
        <w:rPr>
          <w:lang w:val="fr-FR"/>
        </w:rPr>
      </w:pPr>
      <w:r w:rsidRPr="00AA21B5">
        <w:rPr>
          <w:lang w:val="fr-FR"/>
        </w:rPr>
        <w:t xml:space="preserve">Trop souvent encore, </w:t>
      </w:r>
      <w:r w:rsidR="001673BB" w:rsidRPr="00AA21B5">
        <w:rPr>
          <w:lang w:val="fr-FR"/>
        </w:rPr>
        <w:t xml:space="preserve"> les mesures de politiques découlent d’un problème dont nous ne </w:t>
      </w:r>
      <w:r w:rsidR="00560C39" w:rsidRPr="00AA21B5">
        <w:rPr>
          <w:lang w:val="fr-FR"/>
        </w:rPr>
        <w:t xml:space="preserve">pouvons </w:t>
      </w:r>
      <w:r w:rsidR="001673BB" w:rsidRPr="00AA21B5">
        <w:rPr>
          <w:lang w:val="fr-FR"/>
        </w:rPr>
        <w:t xml:space="preserve">malheureusement pas chiffrer l’ampleur ou dont l’impact n’est pas </w:t>
      </w:r>
      <w:r w:rsidR="00BE7F94" w:rsidRPr="00AA21B5">
        <w:rPr>
          <w:lang w:val="fr-FR"/>
        </w:rPr>
        <w:t xml:space="preserve">calculé </w:t>
      </w:r>
      <w:r w:rsidR="001673BB" w:rsidRPr="00AA21B5">
        <w:rPr>
          <w:lang w:val="fr-FR"/>
        </w:rPr>
        <w:t xml:space="preserve">avec précision. Ainsi, en matière de mariages blancs, nous ne disposons pas d’une vision chiffrée détaillée du problème.  Dans le cadre du changement législatif radical en matière de regroupement familial, </w:t>
      </w:r>
      <w:r w:rsidR="00BE7F94" w:rsidRPr="00AA21B5">
        <w:rPr>
          <w:lang w:val="fr-FR"/>
        </w:rPr>
        <w:t>la</w:t>
      </w:r>
      <w:r w:rsidR="001673BB" w:rsidRPr="00AA21B5">
        <w:rPr>
          <w:lang w:val="fr-FR"/>
        </w:rPr>
        <w:t xml:space="preserve"> surveillance</w:t>
      </w:r>
      <w:r w:rsidR="00BE7F94" w:rsidRPr="00AA21B5">
        <w:rPr>
          <w:lang w:val="fr-FR"/>
        </w:rPr>
        <w:t xml:space="preserve"> de l’impact</w:t>
      </w:r>
      <w:r w:rsidR="001673BB" w:rsidRPr="00AA21B5">
        <w:rPr>
          <w:lang w:val="fr-FR"/>
        </w:rPr>
        <w:t xml:space="preserve"> n’a pas été mise sur pieds ou insuffisamment. Par exemple, nous ne </w:t>
      </w:r>
      <w:r w:rsidR="00560C39" w:rsidRPr="00AA21B5">
        <w:rPr>
          <w:lang w:val="fr-FR"/>
        </w:rPr>
        <w:t xml:space="preserve">pouvons </w:t>
      </w:r>
      <w:r w:rsidR="001673BB" w:rsidRPr="00AA21B5">
        <w:rPr>
          <w:lang w:val="fr-FR"/>
        </w:rPr>
        <w:t xml:space="preserve">toujours </w:t>
      </w:r>
      <w:r w:rsidR="00560C39" w:rsidRPr="00AA21B5">
        <w:rPr>
          <w:lang w:val="fr-FR"/>
        </w:rPr>
        <w:t xml:space="preserve">pas </w:t>
      </w:r>
      <w:r w:rsidR="001673BB" w:rsidRPr="00AA21B5">
        <w:rPr>
          <w:lang w:val="fr-FR"/>
        </w:rPr>
        <w:t xml:space="preserve"> faire la distinction entre regroupement familial avec un Belge et avec un citoyen de l’UE</w:t>
      </w:r>
      <w:r w:rsidR="00BE7F94" w:rsidRPr="00AA21B5">
        <w:rPr>
          <w:lang w:val="fr-FR"/>
        </w:rPr>
        <w:t xml:space="preserve">, </w:t>
      </w:r>
      <w:r w:rsidR="001673BB" w:rsidRPr="00AA21B5">
        <w:rPr>
          <w:lang w:val="fr-FR"/>
        </w:rPr>
        <w:t>alors que depuis 2011, la loi diffère sensiblement en ce qui concerne ces deux cas.</w:t>
      </w:r>
    </w:p>
    <w:p w:rsidR="00787AE0" w:rsidRPr="00787AE0" w:rsidRDefault="00787AE0" w:rsidP="00787AE0">
      <w:pPr>
        <w:shd w:val="clear" w:color="auto" w:fill="FFFFFF"/>
        <w:spacing w:after="0" w:line="240" w:lineRule="auto"/>
        <w:jc w:val="both"/>
        <w:rPr>
          <w:rFonts w:cstheme="minorHAnsi"/>
          <w:szCs w:val="24"/>
          <w:lang w:val="fr-FR"/>
        </w:rPr>
      </w:pPr>
    </w:p>
    <w:p w:rsidR="00CD5242" w:rsidRDefault="005F59C6" w:rsidP="00051B18">
      <w:pPr>
        <w:pStyle w:val="Citationintense"/>
        <w:rPr>
          <w:rStyle w:val="Accentuation"/>
        </w:rPr>
      </w:pPr>
      <w:r w:rsidRPr="00787AE0">
        <w:rPr>
          <w:rStyle w:val="Accentuation"/>
        </w:rPr>
        <w:t>L</w:t>
      </w:r>
      <w:r w:rsidR="007F4105" w:rsidRPr="00787AE0">
        <w:rPr>
          <w:rStyle w:val="Accentuation"/>
        </w:rPr>
        <w:t xml:space="preserve">e Centre </w:t>
      </w:r>
      <w:r w:rsidR="00560C39" w:rsidRPr="00787AE0">
        <w:rPr>
          <w:rStyle w:val="Accentuation"/>
        </w:rPr>
        <w:t xml:space="preserve">plaide </w:t>
      </w:r>
      <w:r w:rsidR="007F4105" w:rsidRPr="00787AE0">
        <w:rPr>
          <w:rStyle w:val="Accentuation"/>
        </w:rPr>
        <w:t>également pour un suivi dans le temps (suivi longitudinal) de la situation socioéconomique des nouveaux arrivants.</w:t>
      </w:r>
    </w:p>
    <w:p w:rsidR="00CD5242" w:rsidRDefault="00CD5242" w:rsidP="00AA21B5">
      <w:pPr>
        <w:shd w:val="clear" w:color="auto" w:fill="FFFFFF"/>
        <w:spacing w:after="0" w:line="240" w:lineRule="auto"/>
        <w:jc w:val="both"/>
        <w:rPr>
          <w:rFonts w:cstheme="minorHAnsi"/>
          <w:color w:val="000000"/>
          <w:szCs w:val="24"/>
          <w:lang w:val="fr-FR"/>
        </w:rPr>
      </w:pPr>
    </w:p>
    <w:p w:rsidR="00380DFA" w:rsidRDefault="00380DFA" w:rsidP="00E92926">
      <w:pPr>
        <w:jc w:val="both"/>
        <w:rPr>
          <w:lang w:val="fr-FR"/>
        </w:rPr>
      </w:pPr>
      <w:r w:rsidRPr="00AA21B5">
        <w:rPr>
          <w:lang w:val="fr-FR"/>
        </w:rPr>
        <w:t xml:space="preserve">De cette manière, le parcours postérieur à la délivrance d’un permis de séjour n’est pas une </w:t>
      </w:r>
      <w:r w:rsidR="00560C39" w:rsidRPr="00AA21B5">
        <w:rPr>
          <w:lang w:val="fr-FR"/>
        </w:rPr>
        <w:t>boîte noire</w:t>
      </w:r>
      <w:r w:rsidRPr="00AA21B5">
        <w:rPr>
          <w:lang w:val="fr-FR"/>
        </w:rPr>
        <w:t xml:space="preserve"> </w:t>
      </w:r>
      <w:r w:rsidR="00560C39" w:rsidRPr="00AA21B5">
        <w:rPr>
          <w:lang w:val="fr-FR"/>
        </w:rPr>
        <w:t>et</w:t>
      </w:r>
      <w:r w:rsidR="00BE7F94" w:rsidRPr="00AA21B5">
        <w:rPr>
          <w:lang w:val="fr-FR"/>
        </w:rPr>
        <w:t xml:space="preserve"> il est envisageable de réaliser </w:t>
      </w:r>
      <w:r w:rsidRPr="00AA21B5">
        <w:rPr>
          <w:lang w:val="fr-FR"/>
        </w:rPr>
        <w:t>un</w:t>
      </w:r>
      <w:r w:rsidR="00560C39" w:rsidRPr="00AA21B5">
        <w:rPr>
          <w:lang w:val="fr-FR"/>
        </w:rPr>
        <w:t xml:space="preserve"> suivi</w:t>
      </w:r>
      <w:r w:rsidRPr="00AA21B5">
        <w:rPr>
          <w:lang w:val="fr-FR"/>
        </w:rPr>
        <w:t xml:space="preserve"> sur l</w:t>
      </w:r>
      <w:r w:rsidR="00560C39" w:rsidRPr="00AA21B5">
        <w:rPr>
          <w:lang w:val="fr-FR"/>
        </w:rPr>
        <w:t>e</w:t>
      </w:r>
      <w:r w:rsidRPr="00AA21B5">
        <w:rPr>
          <w:lang w:val="fr-FR"/>
        </w:rPr>
        <w:t xml:space="preserve">quel ancrer d’éventuelles </w:t>
      </w:r>
      <w:r w:rsidR="00560C39" w:rsidRPr="00AA21B5">
        <w:rPr>
          <w:lang w:val="fr-FR"/>
        </w:rPr>
        <w:t>politiques ultérieures</w:t>
      </w:r>
      <w:r w:rsidRPr="00AA21B5">
        <w:rPr>
          <w:lang w:val="fr-FR"/>
        </w:rPr>
        <w:t>. </w:t>
      </w:r>
    </w:p>
    <w:p w:rsidR="008034FC" w:rsidRDefault="008034FC">
      <w:pPr>
        <w:rPr>
          <w:rFonts w:cstheme="minorHAnsi"/>
          <w:color w:val="000000"/>
          <w:szCs w:val="24"/>
          <w:lang w:val="fr-FR"/>
        </w:rPr>
      </w:pPr>
    </w:p>
    <w:p w:rsidR="005F540A" w:rsidRDefault="005F540A" w:rsidP="00CD5242">
      <w:pPr>
        <w:pStyle w:val="Titre3"/>
      </w:pPr>
      <w:bookmarkStart w:id="47" w:name="_Toc377028544"/>
      <w:bookmarkStart w:id="48" w:name="_Toc377030221"/>
      <w:r w:rsidRPr="00CD5242">
        <w:t>Droits fondamentaux des étrangers : Codifier le droit des étrangers</w:t>
      </w:r>
      <w:bookmarkEnd w:id="47"/>
      <w:bookmarkEnd w:id="48"/>
    </w:p>
    <w:p w:rsidR="00B00354" w:rsidRDefault="00B00354" w:rsidP="00AA21B5">
      <w:pPr>
        <w:spacing w:after="0" w:line="240" w:lineRule="auto"/>
        <w:jc w:val="both"/>
        <w:rPr>
          <w:rFonts w:cstheme="minorHAnsi"/>
          <w:lang w:val="fr-FR"/>
        </w:rPr>
      </w:pPr>
    </w:p>
    <w:p w:rsidR="00212434" w:rsidRPr="00AA21B5" w:rsidRDefault="00212434" w:rsidP="00AA21B5">
      <w:pPr>
        <w:spacing w:after="0" w:line="240" w:lineRule="auto"/>
        <w:jc w:val="both"/>
        <w:rPr>
          <w:rFonts w:cstheme="minorHAnsi"/>
          <w:lang w:val="fr-FR"/>
        </w:rPr>
      </w:pPr>
    </w:p>
    <w:p w:rsidR="00FC096B" w:rsidRDefault="009045AD" w:rsidP="00051B18">
      <w:pPr>
        <w:pStyle w:val="Citationintense"/>
        <w:rPr>
          <w:rStyle w:val="Accentuation"/>
        </w:rPr>
      </w:pPr>
      <w:r w:rsidRPr="00787AE0">
        <w:rPr>
          <w:rStyle w:val="Accentuation"/>
        </w:rPr>
        <w:t>Selon le Centre, a</w:t>
      </w:r>
      <w:r w:rsidR="005F540A" w:rsidRPr="00787AE0">
        <w:rPr>
          <w:rStyle w:val="Accentuation"/>
        </w:rPr>
        <w:t>près plus de trente ans de réformes successives de la loi du 15 décembre 1980, pierre angulaire de sa politique migratoire, la Belgique doit se doter d’un « code du droit des étrangers » pour  rendre la législation compréhensible, la réparer, la compléter et assurer son articulation avec d’autres normes qui lui sont liées.</w:t>
      </w:r>
    </w:p>
    <w:p w:rsidR="004D7390" w:rsidRPr="004D7390" w:rsidRDefault="004D7390" w:rsidP="004D7390"/>
    <w:p w:rsidR="005F540A" w:rsidRDefault="005F540A" w:rsidP="008034FC">
      <w:pPr>
        <w:rPr>
          <w:lang w:val="fr-FR"/>
        </w:rPr>
      </w:pPr>
      <w:r w:rsidRPr="00AA21B5">
        <w:rPr>
          <w:lang w:val="fr-FR"/>
        </w:rPr>
        <w:t>Le renforcement de la sécurité juridique de tous</w:t>
      </w:r>
      <w:r w:rsidR="00BE7F94" w:rsidRPr="00AA21B5">
        <w:rPr>
          <w:lang w:val="fr-FR"/>
        </w:rPr>
        <w:t>,</w:t>
      </w:r>
      <w:r w:rsidRPr="00AA21B5">
        <w:rPr>
          <w:lang w:val="fr-FR"/>
        </w:rPr>
        <w:t xml:space="preserve"> et celle des étrangers en particulier</w:t>
      </w:r>
      <w:r w:rsidR="00BE7F94" w:rsidRPr="00AA21B5">
        <w:rPr>
          <w:lang w:val="fr-FR"/>
        </w:rPr>
        <w:t>,</w:t>
      </w:r>
      <w:r w:rsidRPr="00AA21B5">
        <w:rPr>
          <w:lang w:val="fr-FR"/>
        </w:rPr>
        <w:t xml:space="preserve"> est l’objectif central de cette codification.</w:t>
      </w:r>
    </w:p>
    <w:p w:rsidR="005F540A" w:rsidRDefault="005F540A" w:rsidP="008034FC">
      <w:pPr>
        <w:rPr>
          <w:lang w:val="fr-FR"/>
        </w:rPr>
      </w:pPr>
      <w:r w:rsidRPr="00AA21B5">
        <w:rPr>
          <w:lang w:val="fr-FR"/>
        </w:rPr>
        <w:lastRenderedPageBreak/>
        <w:t>Concrètement on entend par </w:t>
      </w:r>
      <w:r w:rsidR="00A615B1" w:rsidRPr="00AA21B5">
        <w:rPr>
          <w:lang w:val="fr-FR"/>
        </w:rPr>
        <w:t xml:space="preserve">codification </w:t>
      </w:r>
      <w:r w:rsidRPr="00AA21B5">
        <w:rPr>
          <w:lang w:val="fr-FR"/>
        </w:rPr>
        <w:t>:</w:t>
      </w:r>
    </w:p>
    <w:p w:rsidR="00BE7F94" w:rsidRDefault="005F540A" w:rsidP="008034FC">
      <w:pPr>
        <w:pStyle w:val="Paragraphedeliste"/>
        <w:numPr>
          <w:ilvl w:val="0"/>
          <w:numId w:val="22"/>
        </w:numPr>
        <w:rPr>
          <w:lang w:val="fr-FR"/>
        </w:rPr>
      </w:pPr>
      <w:r w:rsidRPr="008034FC">
        <w:rPr>
          <w:lang w:val="fr-FR"/>
        </w:rPr>
        <w:t>rendre la législation compréhensible : en assurer la lisibilité (syntaxe, réduction des renvois vers d’autres articles au sein d’un même article</w:t>
      </w:r>
      <w:r w:rsidR="003838FA">
        <w:rPr>
          <w:lang w:val="fr-FR"/>
        </w:rPr>
        <w:t>,</w:t>
      </w:r>
      <w:r w:rsidRPr="008034FC">
        <w:rPr>
          <w:lang w:val="fr-FR"/>
        </w:rPr>
        <w:t xml:space="preserve"> …). </w:t>
      </w:r>
    </w:p>
    <w:p w:rsidR="004D7390" w:rsidRPr="008034FC" w:rsidRDefault="004D7390" w:rsidP="004D7390">
      <w:pPr>
        <w:pStyle w:val="Paragraphedeliste"/>
        <w:ind w:left="2880"/>
        <w:rPr>
          <w:lang w:val="fr-FR"/>
        </w:rPr>
      </w:pPr>
    </w:p>
    <w:p w:rsidR="00787AE0" w:rsidRDefault="005F540A" w:rsidP="004D7390">
      <w:pPr>
        <w:pStyle w:val="Paragraphedeliste"/>
        <w:numPr>
          <w:ilvl w:val="0"/>
          <w:numId w:val="22"/>
        </w:numPr>
        <w:rPr>
          <w:lang w:val="fr-FR"/>
        </w:rPr>
      </w:pPr>
      <w:r w:rsidRPr="008034FC">
        <w:rPr>
          <w:lang w:val="fr-FR"/>
        </w:rPr>
        <w:t>réparer la législation</w:t>
      </w:r>
      <w:r w:rsidR="00BE7F94" w:rsidRPr="008034FC">
        <w:rPr>
          <w:lang w:val="fr-FR"/>
        </w:rPr>
        <w:t xml:space="preserve"> : </w:t>
      </w:r>
      <w:r w:rsidRPr="008034FC">
        <w:rPr>
          <w:lang w:val="fr-FR"/>
        </w:rPr>
        <w:t xml:space="preserve"> sortir de la loi du 15 décembre 1980 ce qui n’en relève pas directement (</w:t>
      </w:r>
      <w:r w:rsidR="003838FA">
        <w:rPr>
          <w:lang w:val="fr-FR"/>
        </w:rPr>
        <w:t xml:space="preserve">tel que </w:t>
      </w:r>
      <w:r w:rsidRPr="008034FC">
        <w:rPr>
          <w:lang w:val="fr-FR"/>
        </w:rPr>
        <w:t>les règles de procédures du Conseil du contentieux</w:t>
      </w:r>
      <w:r w:rsidR="00BA150A">
        <w:rPr>
          <w:lang w:val="fr-FR"/>
        </w:rPr>
        <w:t xml:space="preserve"> des étrangers</w:t>
      </w:r>
      <w:r w:rsidRPr="008034FC">
        <w:rPr>
          <w:lang w:val="fr-FR"/>
        </w:rPr>
        <w:t>) et corriger les contradictions internes qui sont survenues dans le texte au fil des modifications successive</w:t>
      </w:r>
      <w:r w:rsidR="00BE7F94" w:rsidRPr="008034FC">
        <w:rPr>
          <w:lang w:val="fr-FR"/>
        </w:rPr>
        <w:t>s</w:t>
      </w:r>
      <w:r w:rsidRPr="008034FC">
        <w:rPr>
          <w:lang w:val="fr-FR"/>
        </w:rPr>
        <w:t xml:space="preserve"> (la transposition de la directive retour, la mise en place du trajet de retour et la transposition concomitante de la directive procédure d’asile résultent dans l’impossibilité d’application de certaines des nouvelles dispositions) ; </w:t>
      </w:r>
    </w:p>
    <w:p w:rsidR="004D7390" w:rsidRPr="004D7390" w:rsidRDefault="004D7390" w:rsidP="004D7390">
      <w:pPr>
        <w:pStyle w:val="Paragraphedeliste"/>
        <w:rPr>
          <w:lang w:val="fr-FR"/>
        </w:rPr>
      </w:pPr>
    </w:p>
    <w:p w:rsidR="004D7390" w:rsidRDefault="005F540A" w:rsidP="004D7390">
      <w:pPr>
        <w:pStyle w:val="Paragraphedeliste"/>
        <w:numPr>
          <w:ilvl w:val="0"/>
          <w:numId w:val="22"/>
        </w:numPr>
        <w:rPr>
          <w:lang w:val="fr-FR"/>
        </w:rPr>
      </w:pPr>
      <w:r w:rsidRPr="008034FC">
        <w:rPr>
          <w:lang w:val="fr-FR"/>
        </w:rPr>
        <w:t xml:space="preserve">compléter la législation : de manière à couvrir tous les statuts existants (réformer le statut des apatrides, clarifier la situation des </w:t>
      </w:r>
      <w:proofErr w:type="spellStart"/>
      <w:r w:rsidRPr="008034FC">
        <w:rPr>
          <w:lang w:val="fr-FR"/>
        </w:rPr>
        <w:t>inéloignables</w:t>
      </w:r>
      <w:proofErr w:type="spellEnd"/>
      <w:r w:rsidRPr="008034FC">
        <w:rPr>
          <w:lang w:val="fr-FR"/>
        </w:rPr>
        <w:t>…) mais aussi de manière à prendre en compte la situation de certains groupes vulnérables (droits de l’enfant, groupes vulnérables, régularisations humanitaires</w:t>
      </w:r>
      <w:r w:rsidR="003838FA">
        <w:rPr>
          <w:lang w:val="fr-FR"/>
        </w:rPr>
        <w:t>,</w:t>
      </w:r>
      <w:r w:rsidRPr="008034FC">
        <w:rPr>
          <w:lang w:val="fr-FR"/>
        </w:rPr>
        <w:t>…)</w:t>
      </w:r>
    </w:p>
    <w:p w:rsidR="004D7390" w:rsidRPr="004D7390" w:rsidRDefault="004D7390" w:rsidP="004D7390">
      <w:pPr>
        <w:pStyle w:val="Paragraphedeliste"/>
        <w:ind w:left="2880"/>
        <w:rPr>
          <w:lang w:val="fr-FR"/>
        </w:rPr>
      </w:pPr>
    </w:p>
    <w:p w:rsidR="005F540A" w:rsidRPr="008034FC" w:rsidRDefault="00BE7F94" w:rsidP="008034FC">
      <w:pPr>
        <w:pStyle w:val="Paragraphedeliste"/>
        <w:numPr>
          <w:ilvl w:val="0"/>
          <w:numId w:val="22"/>
        </w:numPr>
        <w:rPr>
          <w:lang w:val="fr-FR"/>
        </w:rPr>
      </w:pPr>
      <w:r w:rsidRPr="008034FC">
        <w:rPr>
          <w:lang w:val="fr-FR"/>
        </w:rPr>
        <w:t>a</w:t>
      </w:r>
      <w:r w:rsidR="005F540A" w:rsidRPr="008034FC">
        <w:rPr>
          <w:lang w:val="fr-FR"/>
        </w:rPr>
        <w:t>ssurer son articulation avec d’autres normes qui lui sont liées : organiser le lien avec la législation – prochainement régionale – sur les permis de travail, ratification de la Convention des Nations</w:t>
      </w:r>
      <w:r w:rsidR="00BF6E4A" w:rsidRPr="008034FC">
        <w:rPr>
          <w:lang w:val="fr-FR"/>
        </w:rPr>
        <w:t xml:space="preserve"> U</w:t>
      </w:r>
      <w:r w:rsidR="005F540A" w:rsidRPr="008034FC">
        <w:rPr>
          <w:lang w:val="fr-FR"/>
        </w:rPr>
        <w:t xml:space="preserve">nies sur les droits des travailleurs migrants et des membres de leur famille, ratification de la </w:t>
      </w:r>
      <w:r w:rsidR="00A615B1" w:rsidRPr="008034FC">
        <w:rPr>
          <w:lang w:val="fr-FR"/>
        </w:rPr>
        <w:t>C</w:t>
      </w:r>
      <w:r w:rsidR="005F540A" w:rsidRPr="008034FC">
        <w:rPr>
          <w:lang w:val="fr-FR"/>
        </w:rPr>
        <w:t xml:space="preserve">onvention des Nations </w:t>
      </w:r>
      <w:r w:rsidR="00BF6E4A" w:rsidRPr="008034FC">
        <w:rPr>
          <w:lang w:val="fr-FR"/>
        </w:rPr>
        <w:t>U</w:t>
      </w:r>
      <w:r w:rsidR="005F540A" w:rsidRPr="008034FC">
        <w:rPr>
          <w:lang w:val="fr-FR"/>
        </w:rPr>
        <w:t>nies sur la réduction et la prévention des cas d’apatridie</w:t>
      </w:r>
      <w:r w:rsidR="003838FA">
        <w:rPr>
          <w:lang w:val="fr-FR"/>
        </w:rPr>
        <w:t>,</w:t>
      </w:r>
      <w:r w:rsidR="005F540A" w:rsidRPr="008034FC">
        <w:rPr>
          <w:lang w:val="fr-FR"/>
        </w:rPr>
        <w:t>…</w:t>
      </w:r>
    </w:p>
    <w:p w:rsidR="004D7390" w:rsidRDefault="004D7390">
      <w:pPr>
        <w:rPr>
          <w:rFonts w:cstheme="minorHAnsi"/>
          <w:lang w:val="fr-FR"/>
        </w:rPr>
      </w:pPr>
      <w:bookmarkStart w:id="49" w:name="_Toc377028545"/>
      <w:bookmarkStart w:id="50" w:name="_Toc377030222"/>
    </w:p>
    <w:p w:rsidR="00576681" w:rsidRDefault="00917EC7" w:rsidP="00953B3E">
      <w:pPr>
        <w:pStyle w:val="Titre2"/>
        <w:ind w:left="0"/>
      </w:pPr>
      <w:r w:rsidRPr="00CD5242">
        <w:t>Santé, affaires sociales et intégration</w:t>
      </w:r>
      <w:bookmarkEnd w:id="49"/>
      <w:bookmarkEnd w:id="50"/>
    </w:p>
    <w:p w:rsidR="008034FC" w:rsidRPr="008034FC" w:rsidRDefault="008034FC" w:rsidP="008034FC"/>
    <w:p w:rsidR="00576681" w:rsidRPr="00CD5242" w:rsidRDefault="00576681" w:rsidP="00CD5242">
      <w:pPr>
        <w:pStyle w:val="Titre3"/>
      </w:pPr>
      <w:bookmarkStart w:id="51" w:name="_Toc377028546"/>
      <w:bookmarkStart w:id="52" w:name="_Toc377030223"/>
      <w:r w:rsidRPr="00CD5242">
        <w:t>Assurabilité des mineurs en séjour irrégulier</w:t>
      </w:r>
      <w:bookmarkEnd w:id="51"/>
      <w:bookmarkEnd w:id="52"/>
      <w:r w:rsidRPr="00CD5242">
        <w:t xml:space="preserve"> </w:t>
      </w:r>
    </w:p>
    <w:p w:rsidR="00576681" w:rsidRPr="00AA21B5" w:rsidRDefault="00576681" w:rsidP="00AA21B5">
      <w:pPr>
        <w:spacing w:after="0" w:line="240" w:lineRule="auto"/>
        <w:jc w:val="both"/>
        <w:rPr>
          <w:rFonts w:cstheme="minorHAnsi"/>
        </w:rPr>
      </w:pPr>
    </w:p>
    <w:p w:rsidR="00576681" w:rsidRPr="00AA21B5" w:rsidRDefault="00576681" w:rsidP="004D7390">
      <w:pPr>
        <w:jc w:val="both"/>
        <w:rPr>
          <w:lang w:val="fr-FR"/>
        </w:rPr>
      </w:pPr>
      <w:r w:rsidRPr="00AA21B5">
        <w:rPr>
          <w:lang w:val="fr-FR"/>
        </w:rPr>
        <w:t>Depuis janvier 2008</w:t>
      </w:r>
      <w:r w:rsidR="00917EC7" w:rsidRPr="00AA21B5">
        <w:rPr>
          <w:lang w:val="fr-FR"/>
        </w:rPr>
        <w:t>,</w:t>
      </w:r>
      <w:r w:rsidRPr="00AA21B5">
        <w:rPr>
          <w:lang w:val="fr-FR"/>
        </w:rPr>
        <w:t xml:space="preserve"> les mineurs étrangers non</w:t>
      </w:r>
      <w:r w:rsidR="00917EC7" w:rsidRPr="00AA21B5">
        <w:rPr>
          <w:lang w:val="fr-FR"/>
        </w:rPr>
        <w:t xml:space="preserve"> </w:t>
      </w:r>
      <w:r w:rsidRPr="00AA21B5">
        <w:rPr>
          <w:lang w:val="fr-FR"/>
        </w:rPr>
        <w:t>accompagnés (MENA), qu</w:t>
      </w:r>
      <w:r w:rsidR="00917EC7" w:rsidRPr="00AA21B5">
        <w:rPr>
          <w:lang w:val="fr-FR"/>
        </w:rPr>
        <w:t xml:space="preserve">el que </w:t>
      </w:r>
      <w:r w:rsidRPr="00AA21B5">
        <w:rPr>
          <w:lang w:val="fr-FR"/>
        </w:rPr>
        <w:t xml:space="preserve">soit leur statut de séjour, ont accès à l’assurance maladie à condition qu’ils </w:t>
      </w:r>
      <w:r w:rsidR="00917EC7" w:rsidRPr="00AA21B5">
        <w:rPr>
          <w:lang w:val="fr-FR"/>
        </w:rPr>
        <w:t>aient</w:t>
      </w:r>
      <w:r w:rsidRPr="00AA21B5">
        <w:rPr>
          <w:lang w:val="fr-FR"/>
        </w:rPr>
        <w:t xml:space="preserve"> fréquenté l’école trois mois de suite ou qu’ils </w:t>
      </w:r>
      <w:r w:rsidR="00917EC7" w:rsidRPr="00AA21B5">
        <w:rPr>
          <w:lang w:val="fr-FR"/>
        </w:rPr>
        <w:t xml:space="preserve">aient </w:t>
      </w:r>
      <w:r w:rsidRPr="00AA21B5">
        <w:rPr>
          <w:lang w:val="fr-FR"/>
        </w:rPr>
        <w:t>été présenté</w:t>
      </w:r>
      <w:r w:rsidR="00917EC7" w:rsidRPr="00AA21B5">
        <w:rPr>
          <w:lang w:val="fr-FR"/>
        </w:rPr>
        <w:t>s</w:t>
      </w:r>
      <w:r w:rsidRPr="00AA21B5">
        <w:rPr>
          <w:lang w:val="fr-FR"/>
        </w:rPr>
        <w:t xml:space="preserve"> à une institution de soutien préventif aux familles. Le législateur soulignait ainsi l’importance d</w:t>
      </w:r>
      <w:r w:rsidR="00917EC7" w:rsidRPr="00AA21B5">
        <w:rPr>
          <w:lang w:val="fr-FR"/>
        </w:rPr>
        <w:t xml:space="preserve">’un </w:t>
      </w:r>
      <w:r w:rsidRPr="00AA21B5">
        <w:rPr>
          <w:lang w:val="fr-FR"/>
        </w:rPr>
        <w:t xml:space="preserve">accès optimal </w:t>
      </w:r>
      <w:r w:rsidR="00917EC7" w:rsidRPr="00AA21B5">
        <w:rPr>
          <w:lang w:val="fr-FR"/>
        </w:rPr>
        <w:t>aux soins de santé pour c</w:t>
      </w:r>
      <w:r w:rsidRPr="00AA21B5">
        <w:rPr>
          <w:lang w:val="fr-FR"/>
        </w:rPr>
        <w:t xml:space="preserve">es mineurs. </w:t>
      </w:r>
    </w:p>
    <w:p w:rsidR="00576681" w:rsidRDefault="00917EC7" w:rsidP="004D7390">
      <w:pPr>
        <w:jc w:val="both"/>
        <w:rPr>
          <w:lang w:val="fr-FR"/>
        </w:rPr>
      </w:pPr>
      <w:r w:rsidRPr="00AA21B5">
        <w:rPr>
          <w:lang w:val="fr-FR"/>
        </w:rPr>
        <w:t>Les études</w:t>
      </w:r>
      <w:r w:rsidR="00576681" w:rsidRPr="00AA21B5">
        <w:rPr>
          <w:lang w:val="fr-FR"/>
        </w:rPr>
        <w:t xml:space="preserve"> démontrent que les soins de santé que l’on reçoit en tant qu’enfant </w:t>
      </w:r>
      <w:r w:rsidRPr="00AA21B5">
        <w:rPr>
          <w:lang w:val="fr-FR"/>
        </w:rPr>
        <w:t xml:space="preserve">ont une influence déterminante sur notre </w:t>
      </w:r>
      <w:r w:rsidR="00576681" w:rsidRPr="00AA21B5">
        <w:rPr>
          <w:lang w:val="fr-FR"/>
        </w:rPr>
        <w:t xml:space="preserve">état de santé </w:t>
      </w:r>
      <w:r w:rsidRPr="00AA21B5">
        <w:rPr>
          <w:lang w:val="fr-FR"/>
        </w:rPr>
        <w:t>en tant qu’</w:t>
      </w:r>
      <w:r w:rsidR="00576681" w:rsidRPr="00AA21B5">
        <w:rPr>
          <w:lang w:val="fr-FR"/>
        </w:rPr>
        <w:t xml:space="preserve">adulte. Des soins de santé efficaces sont une condition fondamentale pour </w:t>
      </w:r>
      <w:r w:rsidRPr="00AA21B5">
        <w:rPr>
          <w:lang w:val="fr-FR"/>
        </w:rPr>
        <w:t xml:space="preserve">le </w:t>
      </w:r>
      <w:r w:rsidR="00576681" w:rsidRPr="00AA21B5">
        <w:rPr>
          <w:lang w:val="fr-FR"/>
        </w:rPr>
        <w:t>développement et l’épanouissement de l’</w:t>
      </w:r>
      <w:r w:rsidRPr="00AA21B5">
        <w:rPr>
          <w:lang w:val="fr-FR"/>
        </w:rPr>
        <w:t>e</w:t>
      </w:r>
      <w:r w:rsidR="00576681" w:rsidRPr="00AA21B5">
        <w:rPr>
          <w:lang w:val="fr-FR"/>
        </w:rPr>
        <w:t xml:space="preserve">nfant. La Convention des Droits de l’Enfant demande que soit garanti le droit de l’enfant </w:t>
      </w:r>
      <w:r w:rsidRPr="00AA21B5">
        <w:rPr>
          <w:lang w:val="fr-FR"/>
        </w:rPr>
        <w:t>à</w:t>
      </w:r>
      <w:r w:rsidR="00576681" w:rsidRPr="00AA21B5">
        <w:rPr>
          <w:lang w:val="fr-FR"/>
        </w:rPr>
        <w:t xml:space="preserve"> jouir du </w:t>
      </w:r>
      <w:r w:rsidR="00576681" w:rsidRPr="00AA21B5">
        <w:rPr>
          <w:i/>
          <w:lang w:val="fr-FR"/>
        </w:rPr>
        <w:t>meilleur état de santé possible</w:t>
      </w:r>
      <w:r w:rsidR="00576681" w:rsidRPr="00AA21B5">
        <w:rPr>
          <w:lang w:val="fr-FR"/>
        </w:rPr>
        <w:t xml:space="preserve"> (art 24). </w:t>
      </w:r>
    </w:p>
    <w:p w:rsidR="00CC3F34" w:rsidRDefault="00576681" w:rsidP="005D281B">
      <w:pPr>
        <w:jc w:val="both"/>
        <w:rPr>
          <w:rFonts w:cstheme="minorHAnsi"/>
          <w:lang w:val="fr-FR"/>
        </w:rPr>
      </w:pPr>
      <w:r w:rsidRPr="00AA21B5">
        <w:rPr>
          <w:lang w:val="fr-FR"/>
        </w:rPr>
        <w:t xml:space="preserve">Le système actuel de soins médicaux pour enfants en séjour irrégulier, qui repose sur l’Arrêté Royal sur l’aide médicale urgente, a un seuil </w:t>
      </w:r>
      <w:proofErr w:type="spellStart"/>
      <w:r w:rsidRPr="00AA21B5">
        <w:rPr>
          <w:lang w:val="fr-FR"/>
        </w:rPr>
        <w:t>élévé</w:t>
      </w:r>
      <w:proofErr w:type="spellEnd"/>
      <w:r w:rsidRPr="00AA21B5">
        <w:rPr>
          <w:lang w:val="fr-FR"/>
        </w:rPr>
        <w:t xml:space="preserve"> </w:t>
      </w:r>
      <w:r w:rsidRPr="00AA21B5">
        <w:rPr>
          <w:lang w:val="fr-FR"/>
        </w:rPr>
        <w:lastRenderedPageBreak/>
        <w:t xml:space="preserve">et est complexe. Les acteurs impliqués (p.ex. médecins, hôpitaux), sont souvent mal informés et il n’y pas une </w:t>
      </w:r>
      <w:r w:rsidR="00375523" w:rsidRPr="00AA21B5">
        <w:rPr>
          <w:lang w:val="fr-FR"/>
        </w:rPr>
        <w:t>application</w:t>
      </w:r>
      <w:r w:rsidRPr="00AA21B5">
        <w:rPr>
          <w:lang w:val="fr-FR"/>
        </w:rPr>
        <w:t xml:space="preserve"> uniforme de l’AR.</w:t>
      </w:r>
    </w:p>
    <w:p w:rsidR="00CD5242" w:rsidRPr="004654BC" w:rsidRDefault="00576681" w:rsidP="004654BC">
      <w:pPr>
        <w:spacing w:after="0" w:line="240" w:lineRule="auto"/>
        <w:jc w:val="both"/>
        <w:rPr>
          <w:rFonts w:cstheme="minorHAnsi"/>
          <w:lang w:val="fr-FR"/>
        </w:rPr>
      </w:pPr>
      <w:r w:rsidRPr="00AA21B5">
        <w:rPr>
          <w:rFonts w:cstheme="minorHAnsi"/>
          <w:lang w:val="fr-FR"/>
        </w:rPr>
        <w:t xml:space="preserve">  </w:t>
      </w:r>
    </w:p>
    <w:p w:rsidR="00CD5242" w:rsidRDefault="00576681" w:rsidP="00051B18">
      <w:pPr>
        <w:pStyle w:val="Citationintense"/>
        <w:rPr>
          <w:rStyle w:val="Accentuation"/>
        </w:rPr>
      </w:pPr>
      <w:r w:rsidRPr="004654BC">
        <w:rPr>
          <w:rStyle w:val="Accentuation"/>
        </w:rPr>
        <w:t>Le Centre plaide pour que les tous les mineurs, qu</w:t>
      </w:r>
      <w:r w:rsidR="00917EC7" w:rsidRPr="004654BC">
        <w:rPr>
          <w:rStyle w:val="Accentuation"/>
        </w:rPr>
        <w:t xml:space="preserve">el </w:t>
      </w:r>
      <w:r w:rsidRPr="004654BC">
        <w:rPr>
          <w:rStyle w:val="Accentuation"/>
        </w:rPr>
        <w:t>que soit l</w:t>
      </w:r>
      <w:r w:rsidR="00917EC7" w:rsidRPr="004654BC">
        <w:rPr>
          <w:rStyle w:val="Accentuation"/>
        </w:rPr>
        <w:t>eur statut de séjour, aient accè</w:t>
      </w:r>
      <w:r w:rsidRPr="004654BC">
        <w:rPr>
          <w:rStyle w:val="Accentuation"/>
        </w:rPr>
        <w:t xml:space="preserve">s à l’assurance maladie. </w:t>
      </w:r>
      <w:r w:rsidR="00917EC7" w:rsidRPr="004654BC">
        <w:rPr>
          <w:rStyle w:val="Accentuation"/>
        </w:rPr>
        <w:t>En</w:t>
      </w:r>
      <w:r w:rsidRPr="004654BC">
        <w:rPr>
          <w:rStyle w:val="Accentuation"/>
        </w:rPr>
        <w:t xml:space="preserve"> analogie avec le droit des MENA, </w:t>
      </w:r>
      <w:r w:rsidR="00917EC7" w:rsidRPr="004654BC">
        <w:rPr>
          <w:rStyle w:val="Accentuation"/>
        </w:rPr>
        <w:t xml:space="preserve">ceci pourrait être couplé </w:t>
      </w:r>
      <w:r w:rsidRPr="004654BC">
        <w:rPr>
          <w:rStyle w:val="Accentuation"/>
        </w:rPr>
        <w:t xml:space="preserve">avec la condition de la scolarisation </w:t>
      </w:r>
      <w:r w:rsidR="00917EC7" w:rsidRPr="004654BC">
        <w:rPr>
          <w:rStyle w:val="Accentuation"/>
        </w:rPr>
        <w:t xml:space="preserve">de trois mois </w:t>
      </w:r>
      <w:r w:rsidRPr="004654BC">
        <w:rPr>
          <w:rStyle w:val="Accentuation"/>
        </w:rPr>
        <w:t>ou le suivi par une institution de soutien préventif aux familles</w:t>
      </w:r>
      <w:r w:rsidR="00CD5242" w:rsidRPr="004654BC">
        <w:rPr>
          <w:rStyle w:val="Accentuation"/>
        </w:rPr>
        <w:t>.</w:t>
      </w:r>
      <w:r w:rsidRPr="004654BC">
        <w:rPr>
          <w:rStyle w:val="Accentuation"/>
        </w:rPr>
        <w:t xml:space="preserve"> </w:t>
      </w:r>
    </w:p>
    <w:p w:rsidR="00CD5242" w:rsidRDefault="00CD5242" w:rsidP="00AA21B5">
      <w:pPr>
        <w:spacing w:after="0" w:line="240" w:lineRule="auto"/>
        <w:jc w:val="both"/>
        <w:rPr>
          <w:rFonts w:cstheme="minorHAnsi"/>
          <w:lang w:val="fr-FR"/>
        </w:rPr>
      </w:pPr>
    </w:p>
    <w:p w:rsidR="00576681" w:rsidRDefault="00576681" w:rsidP="004D7390">
      <w:r w:rsidRPr="00AA21B5">
        <w:rPr>
          <w:lang w:val="fr-FR"/>
        </w:rPr>
        <w:t xml:space="preserve">Ceci mènera à un meilleur accès aux soins de santé, plus d’attention aux soins préventifs </w:t>
      </w:r>
      <w:r w:rsidR="00917EC7" w:rsidRPr="00AA21B5">
        <w:rPr>
          <w:lang w:val="fr-FR"/>
        </w:rPr>
        <w:t>et</w:t>
      </w:r>
      <w:r w:rsidRPr="00AA21B5">
        <w:rPr>
          <w:lang w:val="fr-FR"/>
        </w:rPr>
        <w:t xml:space="preserve"> plus de sécurité juridique. </w:t>
      </w:r>
      <w:r w:rsidRPr="00AA21B5">
        <w:t xml:space="preserve">Implicitement, ceci stimulera une meilleure scolarisation. </w:t>
      </w:r>
    </w:p>
    <w:p w:rsidR="00CD5242" w:rsidRPr="00AA21B5" w:rsidRDefault="00CD5242" w:rsidP="00AA21B5">
      <w:pPr>
        <w:spacing w:after="0" w:line="240" w:lineRule="auto"/>
        <w:jc w:val="both"/>
        <w:rPr>
          <w:rFonts w:cstheme="minorHAnsi"/>
        </w:rPr>
      </w:pPr>
    </w:p>
    <w:p w:rsidR="00CD5242" w:rsidRDefault="00CD5242">
      <w:pPr>
        <w:rPr>
          <w:rFonts w:eastAsiaTheme="majorEastAsia" w:cstheme="minorHAnsi"/>
          <w:b/>
          <w:color w:val="365F91" w:themeColor="accent1" w:themeShade="BF"/>
          <w:sz w:val="28"/>
          <w:szCs w:val="24"/>
          <w:lang w:val="fr-FR"/>
        </w:rPr>
      </w:pPr>
      <w:bookmarkStart w:id="53" w:name="_Toc377028547"/>
      <w:r>
        <w:rPr>
          <w:rFonts w:cstheme="minorHAnsi"/>
          <w:bCs/>
          <w:szCs w:val="24"/>
          <w:lang w:val="fr-FR"/>
        </w:rPr>
        <w:br w:type="page"/>
      </w:r>
    </w:p>
    <w:p w:rsidR="00F175D7" w:rsidRDefault="00F175D7" w:rsidP="004654BC">
      <w:pPr>
        <w:pStyle w:val="Titre1"/>
        <w:ind w:left="0"/>
      </w:pPr>
      <w:bookmarkStart w:id="54" w:name="_Toc377030224"/>
      <w:r w:rsidRPr="00CD5242">
        <w:lastRenderedPageBreak/>
        <w:t>Justice</w:t>
      </w:r>
      <w:bookmarkEnd w:id="53"/>
      <w:bookmarkEnd w:id="54"/>
    </w:p>
    <w:p w:rsidR="004654BC" w:rsidRPr="004654BC" w:rsidRDefault="004654BC" w:rsidP="004654BC"/>
    <w:p w:rsidR="00F175D7" w:rsidRPr="00CD5242" w:rsidRDefault="00F175D7" w:rsidP="00953B3E">
      <w:pPr>
        <w:pStyle w:val="Titre2"/>
        <w:ind w:left="0"/>
      </w:pPr>
      <w:bookmarkStart w:id="55" w:name="_Toc377028548"/>
      <w:bookmarkStart w:id="56" w:name="_Toc377030225"/>
      <w:r w:rsidRPr="00CD5242">
        <w:t>Nationalité</w:t>
      </w:r>
      <w:bookmarkEnd w:id="55"/>
      <w:bookmarkEnd w:id="56"/>
    </w:p>
    <w:p w:rsidR="00E372AF" w:rsidRPr="00AA21B5" w:rsidRDefault="00E372AF" w:rsidP="00AA21B5">
      <w:pPr>
        <w:spacing w:after="0" w:line="240" w:lineRule="auto"/>
        <w:jc w:val="both"/>
        <w:rPr>
          <w:rFonts w:cstheme="minorHAnsi"/>
          <w:lang w:val="fr-FR"/>
        </w:rPr>
      </w:pPr>
    </w:p>
    <w:p w:rsidR="00361FB0" w:rsidRDefault="00361FB0" w:rsidP="004D7390">
      <w:pPr>
        <w:jc w:val="both"/>
        <w:rPr>
          <w:lang w:val="fr-FR"/>
        </w:rPr>
      </w:pPr>
      <w:r w:rsidRPr="00AA21B5">
        <w:rPr>
          <w:lang w:val="fr-FR"/>
        </w:rPr>
        <w:t xml:space="preserve">Une évaluation de la législation actuelle (application de la loi, instruments nécessaires, efficacité…) permettrait d’apporter des adaptations concrètes. </w:t>
      </w:r>
    </w:p>
    <w:p w:rsidR="004654BC" w:rsidRDefault="0004403D" w:rsidP="005D281B">
      <w:pPr>
        <w:jc w:val="both"/>
        <w:rPr>
          <w:rFonts w:cstheme="minorHAnsi"/>
          <w:szCs w:val="24"/>
          <w:lang w:val="fr-FR"/>
        </w:rPr>
      </w:pPr>
      <w:r w:rsidRPr="00AA21B5">
        <w:rPr>
          <w:lang w:val="fr-FR"/>
        </w:rPr>
        <w:t xml:space="preserve">Le 4 décembre 2012, le Parlement a approuvé la loi modifiant le Code de la nationalité belge. Cette loi, ainsi que les arrêtés royaux qui ont suivi (A.R. 14/01/2013, A.R. 17/01/2013 et circulaire 8/03/2013) modifient la vision concernant la fonction de l’acquisition de la nationalité. Avant ces adaptations récentes, le législateur considérait que l’acquisition de la nationalité était un instrument d’intégration, là où aujourd’hui, elle constitue le couronnement d’un parcours d’intégration réussi. Le Centre prend acte de cette évolution qui va à l’encontre des résultats de la recherche scientifique dont il ressort que l’acquisition de la nationalité belge en soi contribuait bel et bien aux possibilités d’emploi </w:t>
      </w:r>
      <w:r w:rsidR="00035552" w:rsidRPr="00AA21B5">
        <w:rPr>
          <w:lang w:val="fr-FR"/>
        </w:rPr>
        <w:t>des migrants</w:t>
      </w:r>
      <w:r w:rsidRPr="00AA21B5">
        <w:rPr>
          <w:rStyle w:val="Appelnotedebasdep"/>
          <w:rFonts w:cstheme="minorHAnsi"/>
          <w:szCs w:val="24"/>
          <w:lang w:val="fr-FR"/>
        </w:rPr>
        <w:footnoteReference w:id="5"/>
      </w:r>
      <w:r w:rsidRPr="00AA21B5">
        <w:rPr>
          <w:lang w:val="fr-FR"/>
        </w:rPr>
        <w:t>. Or, les politiques d’acquisition de la nationalité sont au cœur des politiques d’intégration</w:t>
      </w:r>
      <w:r w:rsidRPr="00AA21B5">
        <w:rPr>
          <w:rStyle w:val="Appelnotedebasdep"/>
          <w:rFonts w:cstheme="minorHAnsi"/>
          <w:szCs w:val="24"/>
          <w:lang w:val="nl-NL"/>
        </w:rPr>
        <w:footnoteReference w:id="6"/>
      </w:r>
      <w:r w:rsidRPr="00AA21B5">
        <w:rPr>
          <w:lang w:val="fr-FR"/>
        </w:rPr>
        <w:t>.</w:t>
      </w:r>
    </w:p>
    <w:p w:rsidR="004654BC" w:rsidRPr="004654BC" w:rsidRDefault="004654BC" w:rsidP="004654BC">
      <w:pPr>
        <w:spacing w:after="0" w:line="240" w:lineRule="auto"/>
        <w:jc w:val="both"/>
        <w:rPr>
          <w:rFonts w:cstheme="minorHAnsi"/>
          <w:szCs w:val="24"/>
          <w:lang w:val="fr-FR"/>
        </w:rPr>
      </w:pPr>
    </w:p>
    <w:p w:rsidR="004654BC" w:rsidRDefault="004B4071" w:rsidP="00051B18">
      <w:pPr>
        <w:pStyle w:val="Citationintense"/>
      </w:pPr>
      <w:r w:rsidRPr="004654BC">
        <w:rPr>
          <w:rStyle w:val="Accentuation"/>
        </w:rPr>
        <w:t>Le Centre recommande de prévoir une double présomption d’intégration et de connaissance linguistique en faveur de l’étranger qui a un séjour légal ininterrompu de dix années en Belgique et un séjour illimité au moment de la demande.</w:t>
      </w:r>
    </w:p>
    <w:p w:rsidR="00CD5242" w:rsidRDefault="00CD5242" w:rsidP="005D281B">
      <w:pPr>
        <w:pStyle w:val="Sansinterligne"/>
        <w:ind w:left="0"/>
        <w:rPr>
          <w:rFonts w:cstheme="minorHAnsi"/>
          <w:szCs w:val="24"/>
          <w:lang w:val="fr-FR"/>
        </w:rPr>
      </w:pPr>
    </w:p>
    <w:p w:rsidR="004654BC" w:rsidRDefault="00B74180" w:rsidP="005D281B">
      <w:pPr>
        <w:jc w:val="both"/>
        <w:rPr>
          <w:rFonts w:cstheme="minorHAnsi"/>
          <w:szCs w:val="24"/>
          <w:lang w:val="fr-FR"/>
        </w:rPr>
      </w:pPr>
      <w:r w:rsidRPr="00AA21B5">
        <w:rPr>
          <w:lang w:val="fr-FR"/>
        </w:rPr>
        <w:t xml:space="preserve">La définition actuelle du </w:t>
      </w:r>
      <w:r w:rsidR="00BF6E4A" w:rsidRPr="00AA21B5">
        <w:rPr>
          <w:lang w:val="fr-FR"/>
        </w:rPr>
        <w:t>« </w:t>
      </w:r>
      <w:r w:rsidRPr="00AA21B5">
        <w:rPr>
          <w:lang w:val="fr-FR"/>
        </w:rPr>
        <w:t>séjour légal préalable</w:t>
      </w:r>
      <w:r w:rsidR="00BF6E4A" w:rsidRPr="00AA21B5">
        <w:rPr>
          <w:lang w:val="fr-FR"/>
        </w:rPr>
        <w:t> »</w:t>
      </w:r>
      <w:r w:rsidRPr="00AA21B5">
        <w:rPr>
          <w:lang w:val="fr-FR"/>
        </w:rPr>
        <w:t>, telle qu’introduit par l’A.R. du 14/01/2013, conduit, pour certaines catégories d’étrangers, à ce que les délais définis par le CNB soient prolongés de plusieurs mois ou années. Les étrangers les plus touchés par ces mesures sont les personnes qui ont contesté avec succès une décision de l’OE de retrait de leur séjour devant le Conseil du contentieux des étrangers (CCE) et les bénéficiaires d’une protection internationale. Pour les réfugiés reconnus, la Belgique est liée par des obligations internationales qui doivent leur faciliter l’accès à la nationalité.</w:t>
      </w:r>
    </w:p>
    <w:p w:rsidR="004654BC" w:rsidRPr="004654BC" w:rsidRDefault="004654BC" w:rsidP="004654BC">
      <w:pPr>
        <w:spacing w:after="0" w:line="240" w:lineRule="auto"/>
        <w:jc w:val="both"/>
        <w:rPr>
          <w:rFonts w:cstheme="minorHAnsi"/>
          <w:szCs w:val="24"/>
          <w:lang w:val="fr-FR"/>
        </w:rPr>
      </w:pPr>
    </w:p>
    <w:p w:rsidR="00CD5242" w:rsidRPr="004654BC" w:rsidRDefault="009045AD" w:rsidP="00051B18">
      <w:pPr>
        <w:pStyle w:val="Citationintense"/>
      </w:pPr>
      <w:r w:rsidRPr="004654BC">
        <w:rPr>
          <w:rStyle w:val="Accentuation"/>
        </w:rPr>
        <w:t>Le Centre estime que la</w:t>
      </w:r>
      <w:r w:rsidR="00B74180" w:rsidRPr="004654BC">
        <w:rPr>
          <w:rStyle w:val="Accentuation"/>
        </w:rPr>
        <w:t xml:space="preserve"> </w:t>
      </w:r>
      <w:r w:rsidR="00A0556E" w:rsidRPr="004654BC">
        <w:rPr>
          <w:rStyle w:val="Accentuation"/>
        </w:rPr>
        <w:t>définition</w:t>
      </w:r>
      <w:r w:rsidR="00B74180" w:rsidRPr="004654BC">
        <w:rPr>
          <w:rStyle w:val="Accentuation"/>
        </w:rPr>
        <w:t xml:space="preserve"> </w:t>
      </w:r>
      <w:r w:rsidRPr="004654BC">
        <w:rPr>
          <w:rStyle w:val="Accentuation"/>
        </w:rPr>
        <w:t>de « séjour légal préalable » doit</w:t>
      </w:r>
      <w:r w:rsidR="00B74180" w:rsidRPr="004654BC">
        <w:rPr>
          <w:rStyle w:val="Accentuation"/>
        </w:rPr>
        <w:t xml:space="preserve"> être réexaminée pour tenir compte des périodes fondées sur des autorisations provisoires de séjour.</w:t>
      </w:r>
    </w:p>
    <w:p w:rsidR="00CD5242" w:rsidRDefault="00CD5242" w:rsidP="00AA21B5">
      <w:pPr>
        <w:pStyle w:val="Titre2"/>
        <w:spacing w:before="0"/>
        <w:jc w:val="both"/>
        <w:rPr>
          <w:rFonts w:asciiTheme="minorHAnsi" w:hAnsiTheme="minorHAnsi" w:cstheme="minorHAnsi"/>
          <w:bCs/>
          <w:szCs w:val="24"/>
          <w:lang w:val="fr-FR"/>
        </w:rPr>
      </w:pPr>
      <w:bookmarkStart w:id="57" w:name="_Toc377028549"/>
    </w:p>
    <w:p w:rsidR="005D281B" w:rsidRDefault="005D281B" w:rsidP="00C062F4">
      <w:pPr>
        <w:pStyle w:val="Titre2"/>
        <w:ind w:left="0"/>
      </w:pPr>
      <w:bookmarkStart w:id="58" w:name="_Toc377030226"/>
    </w:p>
    <w:p w:rsidR="00B74180" w:rsidRPr="00CD5242" w:rsidRDefault="00B74180" w:rsidP="00C062F4">
      <w:pPr>
        <w:pStyle w:val="Titre2"/>
        <w:ind w:left="0"/>
      </w:pPr>
      <w:r w:rsidRPr="00CD5242">
        <w:lastRenderedPageBreak/>
        <w:t>Traite des êtres humains</w:t>
      </w:r>
      <w:bookmarkEnd w:id="57"/>
      <w:bookmarkEnd w:id="58"/>
    </w:p>
    <w:p w:rsidR="0069660B" w:rsidRPr="00AA21B5" w:rsidRDefault="0069660B" w:rsidP="00AA21B5">
      <w:pPr>
        <w:spacing w:after="0" w:line="240" w:lineRule="auto"/>
        <w:jc w:val="both"/>
        <w:rPr>
          <w:rFonts w:cstheme="minorHAnsi"/>
          <w:lang w:val="fr-FR"/>
        </w:rPr>
      </w:pPr>
    </w:p>
    <w:p w:rsidR="004654BC" w:rsidRPr="00AA21B5" w:rsidRDefault="00E32AF9" w:rsidP="005D281B">
      <w:pPr>
        <w:jc w:val="both"/>
        <w:rPr>
          <w:rFonts w:cstheme="minorHAnsi"/>
          <w:lang w:val="fr-FR"/>
        </w:rPr>
      </w:pPr>
      <w:r w:rsidRPr="004654BC">
        <w:rPr>
          <w:lang w:val="fr-FR"/>
        </w:rPr>
        <w:t>La stratégie UE 2012-2016 en vue de l’éradication de la traite des êtres humains s’est fixée comme priorité de « reconnaître, de protéger et de soutenir » les victimes de la traite des êtres humains. La traite des êtres humains constitue une grave violation des droits de l’homme. Des dispositions complémentaires doivent dès lors être prises par l’État afin de protéger les victimes.</w:t>
      </w:r>
    </w:p>
    <w:p w:rsidR="00BF6E4A" w:rsidRPr="00AA21B5" w:rsidRDefault="00BF6E4A" w:rsidP="00AA21B5">
      <w:pPr>
        <w:pStyle w:val="Paragraphedeliste"/>
        <w:autoSpaceDE w:val="0"/>
        <w:autoSpaceDN w:val="0"/>
        <w:spacing w:after="0" w:line="240" w:lineRule="auto"/>
        <w:ind w:left="0"/>
        <w:contextualSpacing w:val="0"/>
        <w:jc w:val="both"/>
        <w:rPr>
          <w:rFonts w:cstheme="minorHAnsi"/>
          <w:szCs w:val="24"/>
          <w:lang w:val="fr-FR"/>
        </w:rPr>
      </w:pPr>
    </w:p>
    <w:p w:rsidR="00BF6E4A" w:rsidRPr="004654BC" w:rsidRDefault="00BF6E4A" w:rsidP="005F362C">
      <w:pPr>
        <w:pStyle w:val="Citationintense"/>
        <w:tabs>
          <w:tab w:val="clear" w:pos="1560"/>
          <w:tab w:val="clear" w:pos="1843"/>
          <w:tab w:val="clear" w:pos="2835"/>
        </w:tabs>
        <w:rPr>
          <w:rStyle w:val="Accentuation"/>
        </w:rPr>
      </w:pPr>
      <w:r w:rsidRPr="004654BC">
        <w:rPr>
          <w:rStyle w:val="Accentuation"/>
        </w:rPr>
        <w:t>Le Centre recommande la mise en place d’un cadre clair et satisfaisant pour l’accompagnement des victimes de traite des êtres humains</w:t>
      </w:r>
      <w:r w:rsidR="005F59C6" w:rsidRPr="004654BC">
        <w:rPr>
          <w:rStyle w:val="Accentuation"/>
        </w:rPr>
        <w:t>, à savoir</w:t>
      </w:r>
      <w:r w:rsidRPr="004654BC">
        <w:rPr>
          <w:rStyle w:val="Accentuation"/>
        </w:rPr>
        <w:t> : </w:t>
      </w:r>
    </w:p>
    <w:p w:rsidR="00051286" w:rsidRPr="004654BC" w:rsidRDefault="005F59C6" w:rsidP="005F362C">
      <w:pPr>
        <w:pStyle w:val="Citationintense"/>
        <w:numPr>
          <w:ilvl w:val="0"/>
          <w:numId w:val="23"/>
        </w:numPr>
        <w:tabs>
          <w:tab w:val="clear" w:pos="1560"/>
          <w:tab w:val="clear" w:pos="1843"/>
          <w:tab w:val="clear" w:pos="2835"/>
        </w:tabs>
        <w:ind w:left="2410" w:firstLine="0"/>
        <w:rPr>
          <w:rStyle w:val="Accentuation"/>
        </w:rPr>
      </w:pPr>
      <w:r w:rsidRPr="004654BC">
        <w:rPr>
          <w:rStyle w:val="Accentuation"/>
        </w:rPr>
        <w:t>u</w:t>
      </w:r>
      <w:r w:rsidR="00051286" w:rsidRPr="004654BC">
        <w:rPr>
          <w:rStyle w:val="Accentuation"/>
        </w:rPr>
        <w:t>n système de financement clair et soutenu</w:t>
      </w:r>
      <w:r w:rsidR="00212434">
        <w:rPr>
          <w:rStyle w:val="Accentuation"/>
        </w:rPr>
        <w:t> :</w:t>
      </w:r>
      <w:r w:rsidR="00051286" w:rsidRPr="004654BC">
        <w:rPr>
          <w:rStyle w:val="Accentuation"/>
        </w:rPr>
        <w:t xml:space="preserve"> </w:t>
      </w:r>
      <w:r w:rsidR="00BA150A">
        <w:rPr>
          <w:rStyle w:val="Accentuation"/>
        </w:rPr>
        <w:t>d</w:t>
      </w:r>
      <w:r w:rsidR="00051286" w:rsidRPr="004654BC">
        <w:rPr>
          <w:rStyle w:val="Accentuation"/>
        </w:rPr>
        <w:t>es centres spécialisés</w:t>
      </w:r>
      <w:r w:rsidR="00BF6E4A" w:rsidRPr="004654BC">
        <w:rPr>
          <w:rStyle w:val="Accentuation"/>
        </w:rPr>
        <w:t xml:space="preserve"> afin de </w:t>
      </w:r>
      <w:r w:rsidR="00051286" w:rsidRPr="004654BC">
        <w:rPr>
          <w:rStyle w:val="Accentuation"/>
        </w:rPr>
        <w:t xml:space="preserve"> faire face aux défis de</w:t>
      </w:r>
      <w:r w:rsidR="00BF6E4A" w:rsidRPr="004654BC">
        <w:rPr>
          <w:rStyle w:val="Accentuation"/>
        </w:rPr>
        <w:t xml:space="preserve"> façon</w:t>
      </w:r>
      <w:r w:rsidR="00051286" w:rsidRPr="004654BC">
        <w:rPr>
          <w:rStyle w:val="Accentuation"/>
        </w:rPr>
        <w:t xml:space="preserve"> méthodique et concertée ;  les pouvoirs publics  pourront ainsi compter sur une bonne harmonisation entre les différents acteurs ; </w:t>
      </w:r>
      <w:r w:rsidR="00823D22">
        <w:rPr>
          <w:rStyle w:val="Accentuation"/>
        </w:rPr>
        <w:t xml:space="preserve">enfin </w:t>
      </w:r>
      <w:r w:rsidR="00051286" w:rsidRPr="004654BC">
        <w:rPr>
          <w:rStyle w:val="Accentuation"/>
        </w:rPr>
        <w:t xml:space="preserve"> les victimes </w:t>
      </w:r>
      <w:r w:rsidR="00823D22">
        <w:rPr>
          <w:rStyle w:val="Accentuation"/>
        </w:rPr>
        <w:t xml:space="preserve">mêmes </w:t>
      </w:r>
      <w:r w:rsidR="00051286" w:rsidRPr="004654BC">
        <w:rPr>
          <w:rStyle w:val="Accentuation"/>
        </w:rPr>
        <w:t>qui ont droit à des acteurs non gouvernementaux solides en qui pouvoir placer leur confiance ;</w:t>
      </w:r>
    </w:p>
    <w:p w:rsidR="00B96AAA" w:rsidRPr="004654BC" w:rsidRDefault="005F59C6" w:rsidP="005F362C">
      <w:pPr>
        <w:pStyle w:val="Citationintense"/>
        <w:numPr>
          <w:ilvl w:val="0"/>
          <w:numId w:val="23"/>
        </w:numPr>
        <w:tabs>
          <w:tab w:val="clear" w:pos="1560"/>
          <w:tab w:val="clear" w:pos="1843"/>
          <w:tab w:val="clear" w:pos="2835"/>
        </w:tabs>
        <w:ind w:left="2410" w:firstLine="0"/>
        <w:rPr>
          <w:rStyle w:val="Accentuation"/>
        </w:rPr>
      </w:pPr>
      <w:r w:rsidRPr="004654BC">
        <w:rPr>
          <w:rStyle w:val="Accentuation"/>
        </w:rPr>
        <w:t>u</w:t>
      </w:r>
      <w:r w:rsidR="00B96AAA" w:rsidRPr="004654BC">
        <w:rPr>
          <w:rStyle w:val="Accentuation"/>
        </w:rPr>
        <w:t>ne offre adaptée</w:t>
      </w:r>
      <w:r w:rsidR="00BF6E4A" w:rsidRPr="004654BC">
        <w:rPr>
          <w:rStyle w:val="Accentuation"/>
        </w:rPr>
        <w:t xml:space="preserve"> aux </w:t>
      </w:r>
      <w:r w:rsidR="00B96AAA" w:rsidRPr="004654BC">
        <w:rPr>
          <w:rStyle w:val="Accentuation"/>
        </w:rPr>
        <w:t xml:space="preserve"> besoins</w:t>
      </w:r>
      <w:r w:rsidR="00BF6E4A" w:rsidRPr="004654BC">
        <w:rPr>
          <w:rStyle w:val="Accentuation"/>
        </w:rPr>
        <w:t xml:space="preserve"> des victimes</w:t>
      </w:r>
      <w:r w:rsidR="00B96AAA" w:rsidRPr="004654BC">
        <w:rPr>
          <w:rStyle w:val="Accentuation"/>
        </w:rPr>
        <w:t xml:space="preserve"> sur le plan de la protection, de l’accompagnement et de l’indemnisation, en particulier pour les ressortissants de l’UE ; </w:t>
      </w:r>
    </w:p>
    <w:p w:rsidR="00CD5242" w:rsidRDefault="005F59C6" w:rsidP="005F362C">
      <w:pPr>
        <w:pStyle w:val="Citationintense"/>
        <w:numPr>
          <w:ilvl w:val="0"/>
          <w:numId w:val="23"/>
        </w:numPr>
        <w:tabs>
          <w:tab w:val="clear" w:pos="1560"/>
          <w:tab w:val="clear" w:pos="1843"/>
          <w:tab w:val="clear" w:pos="2835"/>
        </w:tabs>
        <w:ind w:left="2410" w:firstLine="0"/>
        <w:rPr>
          <w:rStyle w:val="Accentuation"/>
        </w:rPr>
      </w:pPr>
      <w:r w:rsidRPr="004654BC">
        <w:rPr>
          <w:rStyle w:val="Accentuation"/>
        </w:rPr>
        <w:t>u</w:t>
      </w:r>
      <w:r w:rsidR="00BF6E4A" w:rsidRPr="004654BC">
        <w:rPr>
          <w:rStyle w:val="Accentuation"/>
        </w:rPr>
        <w:t>ne a</w:t>
      </w:r>
      <w:r w:rsidR="00B96AAA" w:rsidRPr="004654BC">
        <w:rPr>
          <w:rStyle w:val="Accentuation"/>
        </w:rPr>
        <w:t>ssistance juridique gratuite et rapide des victimes.</w:t>
      </w:r>
    </w:p>
    <w:p w:rsidR="004654BC" w:rsidRPr="004654BC" w:rsidRDefault="004654BC" w:rsidP="005D281B">
      <w:pPr>
        <w:spacing w:after="0"/>
      </w:pPr>
    </w:p>
    <w:p w:rsidR="00070F02" w:rsidRDefault="00070F02" w:rsidP="005D281B">
      <w:pPr>
        <w:spacing w:after="0"/>
        <w:jc w:val="both"/>
        <w:rPr>
          <w:lang w:val="fr-FR"/>
        </w:rPr>
      </w:pPr>
      <w:r w:rsidRPr="00AA21B5">
        <w:rPr>
          <w:lang w:val="fr-FR"/>
        </w:rPr>
        <w:t xml:space="preserve">Le tout est inspiré par la nécessité d’aller </w:t>
      </w:r>
      <w:r w:rsidR="00A0556E" w:rsidRPr="00AA21B5">
        <w:rPr>
          <w:lang w:val="fr-FR"/>
        </w:rPr>
        <w:t>au-devant</w:t>
      </w:r>
      <w:r w:rsidRPr="00AA21B5">
        <w:rPr>
          <w:lang w:val="fr-FR"/>
        </w:rPr>
        <w:t xml:space="preserve"> de la réglementation européenne, ainsi que celle de maintenir la performance de l’approche belge, également pour les victimes.</w:t>
      </w:r>
    </w:p>
    <w:p w:rsidR="00CD5242" w:rsidRPr="00AA21B5" w:rsidRDefault="00CD5242" w:rsidP="005D281B">
      <w:pPr>
        <w:autoSpaceDE w:val="0"/>
        <w:autoSpaceDN w:val="0"/>
        <w:spacing w:after="0" w:line="240" w:lineRule="auto"/>
        <w:jc w:val="both"/>
        <w:rPr>
          <w:rFonts w:cstheme="minorHAnsi"/>
          <w:szCs w:val="24"/>
          <w:lang w:val="fr-FR"/>
        </w:rPr>
      </w:pPr>
    </w:p>
    <w:p w:rsidR="00A72379" w:rsidRDefault="00A72379" w:rsidP="005D281B">
      <w:pPr>
        <w:spacing w:after="0"/>
        <w:jc w:val="both"/>
        <w:rPr>
          <w:lang w:val="fr-FR"/>
        </w:rPr>
      </w:pPr>
      <w:r w:rsidRPr="00AA21B5">
        <w:rPr>
          <w:lang w:val="fr-FR"/>
        </w:rPr>
        <w:t>Le développement d’un cadre clair et satisfaisant pour l’accompagnement des victimes n’a de sens que dans la mesure où la traite des êtres humains reste une priorité sur le terrain. Un suivi dans une commission parlementaire contribue à la qualité de l’approche. La force de la lutte contre la traite des êtres humains est déterminée par son maillon le plus faible. Une approche globale est primordiale.</w:t>
      </w:r>
    </w:p>
    <w:p w:rsidR="004654BC" w:rsidRDefault="004654BC" w:rsidP="004654BC">
      <w:pPr>
        <w:pStyle w:val="Titre2"/>
        <w:ind w:left="0"/>
        <w:rPr>
          <w:rFonts w:asciiTheme="minorHAnsi" w:eastAsiaTheme="minorEastAsia" w:hAnsiTheme="minorHAnsi" w:cstheme="minorHAnsi"/>
          <w:smallCaps w:val="0"/>
          <w:color w:val="404040" w:themeColor="text1" w:themeTint="BF"/>
          <w:spacing w:val="0"/>
          <w:sz w:val="20"/>
          <w:szCs w:val="24"/>
          <w:lang w:val="fr-FR"/>
        </w:rPr>
      </w:pPr>
      <w:bookmarkStart w:id="59" w:name="_Toc377028550"/>
      <w:bookmarkStart w:id="60" w:name="_Toc377030227"/>
    </w:p>
    <w:p w:rsidR="00A72379" w:rsidRPr="00CD5242" w:rsidRDefault="00A72379" w:rsidP="00C062F4">
      <w:pPr>
        <w:pStyle w:val="Titre2"/>
        <w:ind w:left="0"/>
      </w:pPr>
      <w:r w:rsidRPr="00CD5242">
        <w:t>Orientation sexuelle – Parentalité</w:t>
      </w:r>
      <w:bookmarkEnd w:id="59"/>
      <w:bookmarkEnd w:id="60"/>
    </w:p>
    <w:p w:rsidR="0069660B" w:rsidRPr="00AA21B5" w:rsidRDefault="0069660B" w:rsidP="00AA21B5">
      <w:pPr>
        <w:spacing w:after="0" w:line="240" w:lineRule="auto"/>
        <w:jc w:val="both"/>
        <w:rPr>
          <w:rFonts w:cstheme="minorHAnsi"/>
          <w:lang w:val="fr-FR"/>
        </w:rPr>
      </w:pPr>
    </w:p>
    <w:p w:rsidR="009F762F" w:rsidRDefault="009F762F" w:rsidP="00445DDB">
      <w:pPr>
        <w:jc w:val="both"/>
        <w:rPr>
          <w:lang w:val="fr-FR"/>
        </w:rPr>
      </w:pPr>
      <w:r w:rsidRPr="00AA21B5">
        <w:rPr>
          <w:lang w:val="fr-FR"/>
        </w:rPr>
        <w:t xml:space="preserve">Avec l’ouverture du mariage en 2003 et de l’adoption en 2006, la Belgique est un précurseur international dans le domaine des droits des lesbigays. Bien qu’il y ait actuellement égalité juridique sur ce point, un très grand nombre de problèmes demeurent. </w:t>
      </w:r>
      <w:r w:rsidR="003E0AEA" w:rsidRPr="00AA21B5">
        <w:rPr>
          <w:lang w:val="fr-FR"/>
        </w:rPr>
        <w:t>Ainsi, devenir parents et fonder une famille n’est pas chose  aisée pour les lesbigays.</w:t>
      </w:r>
    </w:p>
    <w:p w:rsidR="00CD5242" w:rsidRPr="00AA21B5" w:rsidRDefault="00CD5242" w:rsidP="00445DDB">
      <w:pPr>
        <w:jc w:val="both"/>
        <w:rPr>
          <w:rFonts w:cstheme="minorHAnsi"/>
          <w:szCs w:val="24"/>
          <w:lang w:val="fr-FR"/>
        </w:rPr>
      </w:pPr>
    </w:p>
    <w:p w:rsidR="004654BC" w:rsidRPr="00AA21B5" w:rsidRDefault="00C463E3" w:rsidP="005D281B">
      <w:pPr>
        <w:jc w:val="both"/>
        <w:rPr>
          <w:rFonts w:cstheme="minorHAnsi"/>
          <w:szCs w:val="24"/>
          <w:lang w:val="fr-FR"/>
        </w:rPr>
      </w:pPr>
      <w:r w:rsidRPr="00AA21B5">
        <w:rPr>
          <w:rFonts w:cstheme="minorHAnsi"/>
          <w:szCs w:val="24"/>
          <w:lang w:val="fr-FR"/>
        </w:rPr>
        <w:lastRenderedPageBreak/>
        <w:t>L</w:t>
      </w:r>
      <w:r w:rsidR="00035552" w:rsidRPr="00AA21B5">
        <w:rPr>
          <w:rFonts w:cstheme="minorHAnsi"/>
          <w:szCs w:val="24"/>
          <w:lang w:val="fr-FR"/>
        </w:rPr>
        <w:t>a</w:t>
      </w:r>
      <w:r w:rsidRPr="00AA21B5">
        <w:rPr>
          <w:rFonts w:cstheme="minorHAnsi"/>
          <w:szCs w:val="24"/>
          <w:lang w:val="fr-FR"/>
        </w:rPr>
        <w:t xml:space="preserve"> partenaire d’une mère lesbienne doit systématiquement suivre une procédure d’adoption compliquée. En pratique, cela signifie que la partenaire d’une mère lesbienne qui entame cette procédure ne peut obtenir de lien juridique avec l’enfant qu’après plusieurs mois d’attente.</w:t>
      </w:r>
    </w:p>
    <w:p w:rsidR="0069660B" w:rsidRPr="00AA21B5" w:rsidRDefault="0069660B" w:rsidP="00AA21B5">
      <w:pPr>
        <w:spacing w:after="0" w:line="240" w:lineRule="auto"/>
        <w:jc w:val="both"/>
        <w:rPr>
          <w:rFonts w:cstheme="minorHAnsi"/>
          <w:b/>
          <w:lang w:val="fr-FR"/>
        </w:rPr>
      </w:pPr>
    </w:p>
    <w:p w:rsidR="00E961E6" w:rsidRPr="004654BC" w:rsidRDefault="00E961E6" w:rsidP="00051B18">
      <w:pPr>
        <w:pStyle w:val="Citationintense"/>
        <w:rPr>
          <w:rStyle w:val="Accentuation"/>
        </w:rPr>
      </w:pPr>
      <w:r w:rsidRPr="004654BC">
        <w:rPr>
          <w:rStyle w:val="Accentuation"/>
        </w:rPr>
        <w:t>Le Centre demande que les couples lesbiens mariés et non mariés puissent obtenir de manière rapide et efficace un lien juridique à part entière avec leur enfant, comme c’est le cas pour les couples hétérosexuels.</w:t>
      </w:r>
    </w:p>
    <w:p w:rsidR="0069660B" w:rsidRPr="00AA21B5" w:rsidRDefault="0069660B" w:rsidP="00AA21B5">
      <w:pPr>
        <w:spacing w:after="0" w:line="240" w:lineRule="auto"/>
        <w:jc w:val="both"/>
        <w:rPr>
          <w:rFonts w:cstheme="minorHAnsi"/>
          <w:lang w:val="fr-FR"/>
        </w:rPr>
      </w:pPr>
    </w:p>
    <w:p w:rsidR="002F279B" w:rsidRDefault="00A6612F" w:rsidP="005D281B">
      <w:pPr>
        <w:jc w:val="both"/>
        <w:rPr>
          <w:rFonts w:cstheme="minorHAnsi"/>
          <w:szCs w:val="24"/>
          <w:lang w:val="fr-FR"/>
        </w:rPr>
      </w:pPr>
      <w:r w:rsidRPr="00AA21B5">
        <w:rPr>
          <w:lang w:val="fr-FR"/>
        </w:rPr>
        <w:t>Pour les candidats parents adoptifs également, de très nombreuses difficultés demeurent.</w:t>
      </w:r>
      <w:r w:rsidRPr="00AA21B5">
        <w:rPr>
          <w:b/>
          <w:lang w:val="fr-FR"/>
        </w:rPr>
        <w:t xml:space="preserve"> </w:t>
      </w:r>
      <w:r w:rsidRPr="00AA21B5">
        <w:rPr>
          <w:lang w:val="fr-FR"/>
        </w:rPr>
        <w:t>Pour l’adoption nationale, les parents biologiques doivent marquer leur accord sur l’adoption par une famille lesbigay. L’adoption à l’étranger est le plus souvent extrêmement difficile car les pays partenaires avec lesquels les services d’adoption agréés collaborent ne consentent généralement pas à l’adoption par des couples lesbigays. L’adoption autonome (en dehors de services d’adoption agréés) est également très complexe. Enfin, les listes d’attente en matière d’adoption sont également très longues.</w:t>
      </w:r>
    </w:p>
    <w:p w:rsidR="00CD5242" w:rsidRPr="00AA21B5" w:rsidRDefault="00CD5242" w:rsidP="00AA21B5">
      <w:pPr>
        <w:spacing w:after="0" w:line="240" w:lineRule="auto"/>
        <w:jc w:val="both"/>
        <w:rPr>
          <w:rFonts w:cstheme="minorHAnsi"/>
          <w:szCs w:val="24"/>
          <w:lang w:val="fr-FR"/>
        </w:rPr>
      </w:pPr>
    </w:p>
    <w:p w:rsidR="00CD5242" w:rsidRDefault="007C49FF" w:rsidP="00051B18">
      <w:pPr>
        <w:pStyle w:val="Citationintense"/>
        <w:rPr>
          <w:rStyle w:val="Accentuation"/>
        </w:rPr>
      </w:pPr>
      <w:r w:rsidRPr="004654BC">
        <w:rPr>
          <w:rStyle w:val="Accentuation"/>
        </w:rPr>
        <w:t xml:space="preserve">Le Centre demande que les problèmes des lesbigays qui sont candidats parents adoptifs soient étudiés et que des solutions concrètes soient élaborées. </w:t>
      </w:r>
    </w:p>
    <w:p w:rsidR="002F279B" w:rsidRPr="002F279B" w:rsidRDefault="002F279B" w:rsidP="002F279B"/>
    <w:p w:rsidR="002F279B" w:rsidRDefault="00EB4EEE" w:rsidP="005D281B">
      <w:pPr>
        <w:jc w:val="both"/>
        <w:rPr>
          <w:rFonts w:cstheme="minorHAnsi"/>
          <w:szCs w:val="24"/>
          <w:lang w:val="fr-FR"/>
        </w:rPr>
      </w:pPr>
      <w:r w:rsidRPr="00AA21B5">
        <w:rPr>
          <w:lang w:val="fr-FR"/>
        </w:rPr>
        <w:t>La Belgique ne possède aucune législation concernant les mères porteuses. Certains couples y ont cependant recours, le cas échéant à l’étranger. Cela peut engendrer des situations très problématiques.</w:t>
      </w:r>
    </w:p>
    <w:p w:rsidR="00CD5242" w:rsidRPr="00AA21B5" w:rsidRDefault="00CD5242" w:rsidP="00AA21B5">
      <w:pPr>
        <w:spacing w:after="0" w:line="240" w:lineRule="auto"/>
        <w:jc w:val="both"/>
        <w:rPr>
          <w:rFonts w:cstheme="minorHAnsi"/>
          <w:szCs w:val="24"/>
          <w:lang w:val="fr-FR"/>
        </w:rPr>
      </w:pPr>
    </w:p>
    <w:p w:rsidR="00EB4EEE" w:rsidRPr="002F279B" w:rsidRDefault="00EB4EEE" w:rsidP="00051B18">
      <w:pPr>
        <w:pStyle w:val="Citationintense"/>
        <w:rPr>
          <w:rStyle w:val="Accentuation"/>
        </w:rPr>
      </w:pPr>
      <w:r w:rsidRPr="002F279B">
        <w:rPr>
          <w:rStyle w:val="Accentuation"/>
        </w:rPr>
        <w:t xml:space="preserve">Le Centre </w:t>
      </w:r>
      <w:r w:rsidR="009045AD" w:rsidRPr="002F279B">
        <w:rPr>
          <w:rStyle w:val="Accentuation"/>
        </w:rPr>
        <w:t xml:space="preserve">estime que la question de </w:t>
      </w:r>
      <w:r w:rsidRPr="002F279B">
        <w:rPr>
          <w:rStyle w:val="Accentuation"/>
        </w:rPr>
        <w:t xml:space="preserve">la nécessité d’un cadre législatif </w:t>
      </w:r>
      <w:r w:rsidR="009045AD" w:rsidRPr="002F279B">
        <w:rPr>
          <w:rStyle w:val="Accentuation"/>
        </w:rPr>
        <w:t xml:space="preserve">relatif aux mères porteuses doit être posée et </w:t>
      </w:r>
      <w:r w:rsidRPr="002F279B">
        <w:rPr>
          <w:rStyle w:val="Accentuation"/>
        </w:rPr>
        <w:t>étudiée.</w:t>
      </w:r>
    </w:p>
    <w:p w:rsidR="002F279B" w:rsidRDefault="002F279B" w:rsidP="002F279B">
      <w:pPr>
        <w:pStyle w:val="Titre2"/>
        <w:ind w:left="0"/>
        <w:rPr>
          <w:rFonts w:asciiTheme="minorHAnsi" w:eastAsiaTheme="minorEastAsia" w:hAnsiTheme="minorHAnsi" w:cstheme="minorHAnsi"/>
          <w:smallCaps w:val="0"/>
          <w:color w:val="404040" w:themeColor="text1" w:themeTint="BF"/>
          <w:spacing w:val="0"/>
          <w:sz w:val="20"/>
          <w:szCs w:val="24"/>
          <w:lang w:val="fr-FR"/>
        </w:rPr>
      </w:pPr>
      <w:bookmarkStart w:id="61" w:name="_Toc377028551"/>
      <w:bookmarkStart w:id="62" w:name="_Toc377030228"/>
    </w:p>
    <w:p w:rsidR="002F279B" w:rsidRDefault="002F279B" w:rsidP="002F279B">
      <w:pPr>
        <w:pStyle w:val="Titre2"/>
        <w:ind w:left="708" w:firstLine="708"/>
      </w:pPr>
    </w:p>
    <w:p w:rsidR="00B3357D" w:rsidRPr="00CD5242" w:rsidRDefault="00B3357D" w:rsidP="00C062F4">
      <w:pPr>
        <w:pStyle w:val="Titre2"/>
        <w:ind w:left="0"/>
      </w:pPr>
      <w:r w:rsidRPr="00CD5242">
        <w:t>COL 13/2013</w:t>
      </w:r>
      <w:bookmarkEnd w:id="61"/>
      <w:bookmarkEnd w:id="62"/>
    </w:p>
    <w:p w:rsidR="0069660B" w:rsidRPr="00AA21B5" w:rsidRDefault="0069660B" w:rsidP="00AA21B5">
      <w:pPr>
        <w:spacing w:after="0" w:line="240" w:lineRule="auto"/>
        <w:jc w:val="both"/>
        <w:rPr>
          <w:rFonts w:cstheme="minorHAnsi"/>
          <w:lang w:val="fr-FR"/>
        </w:rPr>
      </w:pPr>
    </w:p>
    <w:p w:rsidR="004F592C" w:rsidRDefault="004F592C" w:rsidP="005D281B">
      <w:pPr>
        <w:spacing w:after="0"/>
        <w:jc w:val="both"/>
        <w:rPr>
          <w:color w:val="0000FF" w:themeColor="hyperlink"/>
          <w:u w:val="single"/>
          <w:lang w:val="fr-FR"/>
        </w:rPr>
      </w:pPr>
      <w:r w:rsidRPr="00AA21B5">
        <w:rPr>
          <w:lang w:val="fr-FR"/>
        </w:rPr>
        <w:t>Le Collège des procureurs généraux a adopt</w:t>
      </w:r>
      <w:r w:rsidR="0044252E" w:rsidRPr="00AA21B5">
        <w:rPr>
          <w:lang w:val="fr-FR"/>
        </w:rPr>
        <w:t>é une circulaire commune avec les</w:t>
      </w:r>
      <w:r w:rsidRPr="00AA21B5">
        <w:rPr>
          <w:lang w:val="fr-FR"/>
        </w:rPr>
        <w:t xml:space="preserve"> ministre</w:t>
      </w:r>
      <w:r w:rsidR="0044252E" w:rsidRPr="00AA21B5">
        <w:rPr>
          <w:lang w:val="fr-FR"/>
        </w:rPr>
        <w:t>s</w:t>
      </w:r>
      <w:r w:rsidRPr="00AA21B5">
        <w:rPr>
          <w:lang w:val="fr-FR"/>
        </w:rPr>
        <w:t xml:space="preserve"> de la justice et de l’</w:t>
      </w:r>
      <w:r w:rsidR="0044252E" w:rsidRPr="00AA21B5">
        <w:rPr>
          <w:lang w:val="fr-FR"/>
        </w:rPr>
        <w:t xml:space="preserve">intérieur. Cette circulaire COL </w:t>
      </w:r>
      <w:r w:rsidRPr="00AA21B5">
        <w:rPr>
          <w:lang w:val="fr-FR"/>
        </w:rPr>
        <w:t xml:space="preserve">13/2013 est relative à la politique de recherche et de poursuite en matière de discriminations et de délits de haine (en ce compris les discriminations fondées sur le sexe). </w:t>
      </w:r>
      <w:r w:rsidR="00CD5242">
        <w:rPr>
          <w:lang w:val="fr-FR"/>
        </w:rPr>
        <w:t xml:space="preserve">(référence : </w:t>
      </w:r>
      <w:hyperlink r:id="rId12" w:history="1">
        <w:r w:rsidRPr="00AA21B5">
          <w:rPr>
            <w:color w:val="0000FF" w:themeColor="hyperlink"/>
            <w:u w:val="single"/>
            <w:lang w:val="fr-FR"/>
          </w:rPr>
          <w:t>http://www.om-mp.be/omzendbrief/5057048/omzendbrieven_2013.html</w:t>
        </w:r>
      </w:hyperlink>
      <w:r w:rsidR="00CD5242">
        <w:rPr>
          <w:color w:val="0000FF" w:themeColor="hyperlink"/>
          <w:u w:val="single"/>
          <w:lang w:val="fr-FR"/>
        </w:rPr>
        <w:t>)</w:t>
      </w:r>
    </w:p>
    <w:p w:rsidR="00CD5242" w:rsidRPr="00AA21B5" w:rsidRDefault="00CD5242" w:rsidP="005D281B">
      <w:pPr>
        <w:spacing w:after="0" w:line="240" w:lineRule="auto"/>
        <w:jc w:val="both"/>
        <w:rPr>
          <w:rFonts w:cstheme="minorHAnsi"/>
          <w:lang w:val="fr-FR"/>
        </w:rPr>
      </w:pPr>
    </w:p>
    <w:p w:rsidR="0030659A" w:rsidRDefault="0030659A" w:rsidP="005D281B">
      <w:pPr>
        <w:spacing w:after="0"/>
        <w:jc w:val="both"/>
        <w:rPr>
          <w:lang w:val="fr-FR"/>
        </w:rPr>
      </w:pPr>
    </w:p>
    <w:p w:rsidR="0030659A" w:rsidRDefault="0030659A" w:rsidP="005D281B">
      <w:pPr>
        <w:spacing w:after="0"/>
        <w:jc w:val="both"/>
        <w:rPr>
          <w:lang w:val="fr-FR"/>
        </w:rPr>
      </w:pPr>
    </w:p>
    <w:p w:rsidR="0030659A" w:rsidRDefault="0030659A" w:rsidP="005D281B">
      <w:pPr>
        <w:spacing w:after="0"/>
        <w:jc w:val="both"/>
        <w:rPr>
          <w:lang w:val="fr-FR"/>
        </w:rPr>
      </w:pPr>
    </w:p>
    <w:p w:rsidR="0030659A" w:rsidRDefault="0030659A" w:rsidP="005D281B">
      <w:pPr>
        <w:spacing w:after="0"/>
        <w:jc w:val="both"/>
        <w:rPr>
          <w:lang w:val="fr-FR"/>
        </w:rPr>
      </w:pPr>
    </w:p>
    <w:p w:rsidR="004F592C" w:rsidRDefault="004F592C" w:rsidP="005D281B">
      <w:pPr>
        <w:spacing w:after="0"/>
        <w:jc w:val="both"/>
        <w:rPr>
          <w:lang w:val="fr-FR"/>
        </w:rPr>
      </w:pPr>
      <w:r w:rsidRPr="00AA21B5">
        <w:rPr>
          <w:lang w:val="fr-FR"/>
        </w:rPr>
        <w:lastRenderedPageBreak/>
        <w:t xml:space="preserve">Le Centre souhaiterait que les ministres compétents adoptent les mesures suivantes pour rendre cette circulaire plus opérationnelle. </w:t>
      </w:r>
    </w:p>
    <w:p w:rsidR="00CE2D6C" w:rsidRDefault="00CE2D6C" w:rsidP="00CE2D6C">
      <w:pPr>
        <w:jc w:val="both"/>
        <w:rPr>
          <w:lang w:val="fr-FR"/>
        </w:rPr>
      </w:pPr>
    </w:p>
    <w:p w:rsidR="0044252E" w:rsidRPr="00CE2D6C" w:rsidRDefault="004F592C" w:rsidP="005623BC">
      <w:pPr>
        <w:pStyle w:val="Paragraphedeliste"/>
        <w:numPr>
          <w:ilvl w:val="0"/>
          <w:numId w:val="23"/>
        </w:numPr>
        <w:ind w:left="2410" w:hanging="218"/>
        <w:jc w:val="both"/>
        <w:rPr>
          <w:bCs/>
          <w:i/>
          <w:u w:val="single"/>
          <w:lang w:val="fr-FR"/>
        </w:rPr>
      </w:pPr>
      <w:r w:rsidRPr="00CE2D6C">
        <w:rPr>
          <w:i/>
          <w:iCs/>
          <w:lang w:val="fr-FR"/>
        </w:rPr>
        <w:t>Désignation d’interlocuteurs de</w:t>
      </w:r>
      <w:r w:rsidR="00776866" w:rsidRPr="00CE2D6C">
        <w:rPr>
          <w:i/>
          <w:iCs/>
          <w:lang w:val="fr-FR"/>
        </w:rPr>
        <w:t xml:space="preserve"> référence au sein de la police</w:t>
      </w:r>
    </w:p>
    <w:p w:rsidR="002F279B" w:rsidRDefault="004F592C" w:rsidP="005D281B">
      <w:pPr>
        <w:ind w:left="2410"/>
        <w:jc w:val="both"/>
        <w:rPr>
          <w:rFonts w:cstheme="minorHAnsi"/>
          <w:lang w:val="fr-FR"/>
        </w:rPr>
      </w:pPr>
      <w:r w:rsidRPr="00AA21B5">
        <w:rPr>
          <w:lang w:val="fr-FR"/>
        </w:rPr>
        <w:t>La circulaire invite le parquet (et l’auditorat) à désigner en son sein un magistrat de référence. La circulaire invite aussi la police fédérale ainsi que les chefs de corps de la police locale à désigner un fonctionnaire de police de référence avec des possibilités d’en désigner un seul pour plusieurs petites zones et plusieurs pour les grandes.</w:t>
      </w:r>
    </w:p>
    <w:p w:rsidR="002F279B" w:rsidRPr="002F279B" w:rsidRDefault="002F279B" w:rsidP="002F279B">
      <w:pPr>
        <w:spacing w:after="0" w:line="240" w:lineRule="auto"/>
        <w:jc w:val="both"/>
        <w:rPr>
          <w:rFonts w:cstheme="minorHAnsi"/>
          <w:lang w:val="fr-FR"/>
        </w:rPr>
      </w:pPr>
    </w:p>
    <w:p w:rsidR="00CD5242" w:rsidRDefault="003E0AEA" w:rsidP="00051B18">
      <w:pPr>
        <w:pStyle w:val="Citationintense"/>
        <w:rPr>
          <w:rStyle w:val="Accentuation"/>
        </w:rPr>
      </w:pPr>
      <w:r w:rsidRPr="002F279B">
        <w:rPr>
          <w:rStyle w:val="Accentuation"/>
        </w:rPr>
        <w:t xml:space="preserve">Le Centre souhaite que les </w:t>
      </w:r>
      <w:r w:rsidR="00823D22">
        <w:rPr>
          <w:rStyle w:val="Accentuation"/>
        </w:rPr>
        <w:t>m</w:t>
      </w:r>
      <w:r w:rsidRPr="002F279B">
        <w:rPr>
          <w:rStyle w:val="Accentuation"/>
        </w:rPr>
        <w:t>inistres compétents en matière de politique de recherche et de poursuite</w:t>
      </w:r>
      <w:r w:rsidR="00823D22">
        <w:rPr>
          <w:rStyle w:val="Accentuation"/>
        </w:rPr>
        <w:t xml:space="preserve">s liées à des faits de </w:t>
      </w:r>
      <w:r w:rsidRPr="002F279B">
        <w:rPr>
          <w:rStyle w:val="Accentuation"/>
        </w:rPr>
        <w:t>discrimination et de</w:t>
      </w:r>
      <w:r w:rsidR="00823D22">
        <w:rPr>
          <w:rStyle w:val="Accentuation"/>
        </w:rPr>
        <w:t>s</w:t>
      </w:r>
      <w:r w:rsidRPr="002F279B">
        <w:rPr>
          <w:rStyle w:val="Accentuation"/>
        </w:rPr>
        <w:t xml:space="preserve"> délits de haine veillent à la désignation d’un policier de référence</w:t>
      </w:r>
      <w:r w:rsidR="00CD5242" w:rsidRPr="002F279B">
        <w:rPr>
          <w:rStyle w:val="Accentuation"/>
        </w:rPr>
        <w:t xml:space="preserve"> </w:t>
      </w:r>
      <w:r w:rsidR="004F592C" w:rsidRPr="002F279B">
        <w:rPr>
          <w:rStyle w:val="Accentuation"/>
        </w:rPr>
        <w:t>(via par exemple la Commission permanente de la police locale ou  via un autre échelon) sur base d’un profil de fonction de policier de référence</w:t>
      </w:r>
      <w:r w:rsidR="0030659A">
        <w:rPr>
          <w:rStyle w:val="Accentuation"/>
        </w:rPr>
        <w:t>.</w:t>
      </w:r>
    </w:p>
    <w:p w:rsidR="005D281B" w:rsidRDefault="005D281B" w:rsidP="005D281B">
      <w:pPr>
        <w:pStyle w:val="Paragraphedeliste"/>
        <w:spacing w:after="0" w:line="240" w:lineRule="auto"/>
        <w:ind w:left="2410"/>
        <w:jc w:val="both"/>
        <w:rPr>
          <w:rFonts w:cstheme="minorHAnsi"/>
          <w:i/>
          <w:iCs/>
          <w:lang w:val="fr-FR"/>
        </w:rPr>
      </w:pPr>
    </w:p>
    <w:p w:rsidR="0044252E" w:rsidRPr="00CE2D6C" w:rsidRDefault="004F592C" w:rsidP="005623BC">
      <w:pPr>
        <w:pStyle w:val="Paragraphedeliste"/>
        <w:numPr>
          <w:ilvl w:val="0"/>
          <w:numId w:val="23"/>
        </w:numPr>
        <w:spacing w:after="0" w:line="240" w:lineRule="auto"/>
        <w:ind w:left="2410" w:hanging="218"/>
        <w:jc w:val="both"/>
        <w:rPr>
          <w:rFonts w:cstheme="minorHAnsi"/>
          <w:i/>
          <w:iCs/>
          <w:lang w:val="fr-FR"/>
        </w:rPr>
      </w:pPr>
      <w:r w:rsidRPr="00CE2D6C">
        <w:rPr>
          <w:rFonts w:cstheme="minorHAnsi"/>
          <w:i/>
          <w:iCs/>
          <w:lang w:val="fr-FR"/>
        </w:rPr>
        <w:t xml:space="preserve">Désignation d’interlocuteurs de référence au sein de l’inspection </w:t>
      </w:r>
      <w:r w:rsidR="00823D22">
        <w:rPr>
          <w:rFonts w:cstheme="minorHAnsi"/>
          <w:i/>
          <w:iCs/>
          <w:lang w:val="fr-FR"/>
        </w:rPr>
        <w:t>B</w:t>
      </w:r>
      <w:r w:rsidR="0044252E" w:rsidRPr="00CE2D6C">
        <w:rPr>
          <w:rFonts w:cstheme="minorHAnsi"/>
          <w:i/>
          <w:iCs/>
          <w:lang w:val="fr-FR"/>
        </w:rPr>
        <w:t>ien-être au travail</w:t>
      </w:r>
    </w:p>
    <w:p w:rsidR="00CD5242" w:rsidRDefault="00CD5242" w:rsidP="00AA21B5">
      <w:pPr>
        <w:spacing w:after="0" w:line="240" w:lineRule="auto"/>
        <w:jc w:val="both"/>
        <w:rPr>
          <w:rFonts w:cstheme="minorHAnsi"/>
          <w:lang w:val="fr-FR"/>
        </w:rPr>
      </w:pPr>
    </w:p>
    <w:p w:rsidR="001305BA" w:rsidRDefault="004F592C" w:rsidP="00CE2D6C">
      <w:pPr>
        <w:ind w:left="2410"/>
        <w:jc w:val="both"/>
        <w:rPr>
          <w:lang w:val="fr-FR"/>
        </w:rPr>
      </w:pPr>
      <w:r w:rsidRPr="00AA21B5">
        <w:rPr>
          <w:lang w:val="fr-FR"/>
        </w:rPr>
        <w:t xml:space="preserve">La circulaire propose aussi de créer un réseau dans l’emploi confiant cette initiative à l’auditeur de référence. Cette circulaire ne s’applique pas directement aux inspections du travail alors que ces derniers doivent être impliqués dans la mise en place d’un tel réseau. </w:t>
      </w:r>
    </w:p>
    <w:p w:rsidR="002F279B" w:rsidRDefault="004F592C" w:rsidP="005D281B">
      <w:pPr>
        <w:ind w:left="2410"/>
        <w:jc w:val="both"/>
        <w:rPr>
          <w:rFonts w:cstheme="minorHAnsi"/>
          <w:lang w:val="fr-FR"/>
        </w:rPr>
      </w:pPr>
      <w:r w:rsidRPr="00AA21B5">
        <w:rPr>
          <w:lang w:val="fr-FR"/>
        </w:rPr>
        <w:t>Le Centre a déjà conclu un protocole de collaboration avec l’inspection de contrôle des lois sociales sur la discrimination. Mais le Centre a peu de contact avec l’</w:t>
      </w:r>
      <w:r w:rsidR="00640CA6" w:rsidRPr="00AA21B5">
        <w:rPr>
          <w:lang w:val="fr-FR"/>
        </w:rPr>
        <w:t>I</w:t>
      </w:r>
      <w:r w:rsidRPr="00AA21B5">
        <w:rPr>
          <w:lang w:val="fr-FR"/>
        </w:rPr>
        <w:t xml:space="preserve">nspection </w:t>
      </w:r>
      <w:r w:rsidR="00640CA6" w:rsidRPr="00AA21B5">
        <w:rPr>
          <w:lang w:val="fr-FR"/>
        </w:rPr>
        <w:t>B</w:t>
      </w:r>
      <w:r w:rsidRPr="00AA21B5">
        <w:rPr>
          <w:lang w:val="fr-FR"/>
        </w:rPr>
        <w:t>ien-être </w:t>
      </w:r>
      <w:r w:rsidR="00640CA6" w:rsidRPr="00AA21B5">
        <w:rPr>
          <w:lang w:val="fr-FR"/>
        </w:rPr>
        <w:t>au travai</w:t>
      </w:r>
      <w:r w:rsidR="0030659A">
        <w:rPr>
          <w:lang w:val="fr-FR"/>
        </w:rPr>
        <w:t>l</w:t>
      </w:r>
      <w:r w:rsidRPr="00AA21B5">
        <w:rPr>
          <w:lang w:val="fr-FR"/>
        </w:rPr>
        <w:t xml:space="preserve"> en charge du harcèlement au travail alors que le  harcèlement discriminatoire est un phénomène préoccupant auquel le Centre a consacré son rapport annuel 2012.  </w:t>
      </w:r>
    </w:p>
    <w:p w:rsidR="00CD5242" w:rsidRPr="00AA21B5" w:rsidRDefault="00CD5242" w:rsidP="00AA21B5">
      <w:pPr>
        <w:spacing w:after="0" w:line="240" w:lineRule="auto"/>
        <w:jc w:val="both"/>
        <w:rPr>
          <w:rFonts w:cstheme="minorHAnsi"/>
          <w:i/>
          <w:iCs/>
          <w:lang w:val="fr-FR"/>
        </w:rPr>
      </w:pPr>
    </w:p>
    <w:p w:rsidR="004F592C" w:rsidRPr="002F279B" w:rsidRDefault="004F592C" w:rsidP="00051B18">
      <w:pPr>
        <w:pStyle w:val="Citationintense"/>
        <w:rPr>
          <w:rStyle w:val="Accentuation"/>
        </w:rPr>
      </w:pPr>
      <w:r w:rsidRPr="002F279B">
        <w:rPr>
          <w:rStyle w:val="Accentuation"/>
        </w:rPr>
        <w:t xml:space="preserve">Le Centre invite les </w:t>
      </w:r>
      <w:r w:rsidR="009045AD" w:rsidRPr="002F279B">
        <w:rPr>
          <w:rStyle w:val="Accentuation"/>
        </w:rPr>
        <w:t>m</w:t>
      </w:r>
      <w:r w:rsidRPr="002F279B">
        <w:rPr>
          <w:rStyle w:val="Accentuation"/>
        </w:rPr>
        <w:t>inistres compétents à désigner une personne de référence au sein de l’</w:t>
      </w:r>
      <w:r w:rsidR="009045AD" w:rsidRPr="002F279B">
        <w:rPr>
          <w:rStyle w:val="Accentuation"/>
        </w:rPr>
        <w:t>I</w:t>
      </w:r>
      <w:r w:rsidRPr="002F279B">
        <w:rPr>
          <w:rStyle w:val="Accentuation"/>
        </w:rPr>
        <w:t xml:space="preserve">nspection </w:t>
      </w:r>
      <w:r w:rsidR="00640CA6" w:rsidRPr="002F279B">
        <w:rPr>
          <w:rStyle w:val="Accentuation"/>
        </w:rPr>
        <w:t>« Bien-être au travail »</w:t>
      </w:r>
      <w:r w:rsidRPr="002F279B">
        <w:rPr>
          <w:rStyle w:val="Accentuation"/>
        </w:rPr>
        <w:t xml:space="preserve"> aussi bien </w:t>
      </w:r>
      <w:r w:rsidR="00215C79" w:rsidRPr="002F279B">
        <w:rPr>
          <w:rStyle w:val="Accentuation"/>
        </w:rPr>
        <w:t xml:space="preserve">au </w:t>
      </w:r>
      <w:r w:rsidRPr="002F279B">
        <w:rPr>
          <w:rStyle w:val="Accentuation"/>
        </w:rPr>
        <w:t>niveau fédéral qu</w:t>
      </w:r>
      <w:r w:rsidR="00215C79" w:rsidRPr="002F279B">
        <w:rPr>
          <w:rStyle w:val="Accentuation"/>
        </w:rPr>
        <w:t xml:space="preserve">e </w:t>
      </w:r>
      <w:r w:rsidRPr="002F279B">
        <w:rPr>
          <w:rStyle w:val="Accentuation"/>
        </w:rPr>
        <w:t xml:space="preserve"> régional en matière de harcèlement discriminatoire. </w:t>
      </w:r>
    </w:p>
    <w:p w:rsidR="002F279B" w:rsidRDefault="002F279B" w:rsidP="00CD5242">
      <w:pPr>
        <w:spacing w:after="0" w:line="240" w:lineRule="auto"/>
        <w:jc w:val="both"/>
        <w:rPr>
          <w:rFonts w:cstheme="minorHAnsi"/>
          <w:i/>
          <w:iCs/>
          <w:lang w:val="fr-FR"/>
        </w:rPr>
      </w:pPr>
    </w:p>
    <w:p w:rsidR="0044252E" w:rsidRPr="00CE2D6C" w:rsidRDefault="004F592C" w:rsidP="005623BC">
      <w:pPr>
        <w:pStyle w:val="Paragraphedeliste"/>
        <w:numPr>
          <w:ilvl w:val="0"/>
          <w:numId w:val="23"/>
        </w:numPr>
        <w:ind w:left="2410" w:hanging="141"/>
        <w:jc w:val="both"/>
        <w:rPr>
          <w:i/>
          <w:lang w:val="fr-FR"/>
        </w:rPr>
      </w:pPr>
      <w:r w:rsidRPr="00CE2D6C">
        <w:rPr>
          <w:i/>
          <w:lang w:val="fr-FR"/>
        </w:rPr>
        <w:t>Impact sur la production de chiffres au trave</w:t>
      </w:r>
      <w:r w:rsidR="0044252E" w:rsidRPr="00CE2D6C">
        <w:rPr>
          <w:i/>
          <w:lang w:val="fr-FR"/>
        </w:rPr>
        <w:t>rs des procès-verbaux dressés</w:t>
      </w:r>
    </w:p>
    <w:p w:rsidR="004F592C" w:rsidRPr="00AA21B5" w:rsidRDefault="004F592C" w:rsidP="00CE2D6C">
      <w:pPr>
        <w:ind w:left="2410"/>
        <w:jc w:val="both"/>
        <w:rPr>
          <w:lang w:val="fr-FR"/>
        </w:rPr>
      </w:pPr>
      <w:r w:rsidRPr="00AA21B5">
        <w:rPr>
          <w:lang w:val="fr-FR"/>
        </w:rPr>
        <w:t>Certaines difficultés peuvent apparaître dans l’application de la présente circulaire en matière d’enregistrement et de statistique (encodage)</w:t>
      </w:r>
      <w:r w:rsidR="00215C79" w:rsidRPr="00AA21B5">
        <w:rPr>
          <w:lang w:val="fr-FR"/>
        </w:rPr>
        <w:t>,</w:t>
      </w:r>
      <w:r w:rsidRPr="00AA21B5">
        <w:rPr>
          <w:lang w:val="fr-FR"/>
        </w:rPr>
        <w:t xml:space="preserve"> comme déjà pointé par les services compétents.</w:t>
      </w:r>
    </w:p>
    <w:p w:rsidR="009601D7" w:rsidRPr="00AA21B5" w:rsidRDefault="004F592C" w:rsidP="00823D22">
      <w:pPr>
        <w:ind w:left="2410"/>
        <w:jc w:val="both"/>
        <w:rPr>
          <w:rFonts w:cstheme="minorHAnsi"/>
          <w:lang w:val="fr-FR"/>
        </w:rPr>
      </w:pPr>
      <w:r w:rsidRPr="00AA21B5">
        <w:rPr>
          <w:lang w:val="fr-FR"/>
        </w:rPr>
        <w:t xml:space="preserve">En outre, le Centre n’a pas encore accès aux données même </w:t>
      </w:r>
      <w:proofErr w:type="spellStart"/>
      <w:r w:rsidRPr="00AA21B5">
        <w:rPr>
          <w:lang w:val="fr-FR"/>
        </w:rPr>
        <w:t>anonymisées</w:t>
      </w:r>
      <w:proofErr w:type="spellEnd"/>
      <w:r w:rsidRPr="00AA21B5">
        <w:rPr>
          <w:lang w:val="fr-FR"/>
        </w:rPr>
        <w:t xml:space="preserve"> des services de police pour les dossiers disciplinaires ouverts à charge de la police. </w:t>
      </w:r>
    </w:p>
    <w:p w:rsidR="00640CA6" w:rsidRPr="00AA21B5" w:rsidRDefault="00640CA6" w:rsidP="00AA21B5">
      <w:pPr>
        <w:spacing w:after="0" w:line="240" w:lineRule="auto"/>
        <w:jc w:val="both"/>
        <w:rPr>
          <w:rFonts w:cstheme="minorHAnsi"/>
          <w:lang w:val="fr-FR"/>
        </w:rPr>
      </w:pPr>
    </w:p>
    <w:p w:rsidR="0069660B" w:rsidRPr="00AA21B5" w:rsidRDefault="004F592C" w:rsidP="00051B18">
      <w:pPr>
        <w:pStyle w:val="Citationintense"/>
        <w:rPr>
          <w:rFonts w:cstheme="minorHAnsi"/>
          <w:lang w:val="fr-FR"/>
        </w:rPr>
      </w:pPr>
      <w:r w:rsidRPr="009601D7">
        <w:rPr>
          <w:rStyle w:val="Accentuation"/>
        </w:rPr>
        <w:t xml:space="preserve">Le Centre invite les ministres concernés à mettre en place un dispositif de monitoring pour analyser les données statistiques </w:t>
      </w:r>
      <w:r w:rsidR="00D95DD5" w:rsidRPr="009601D7">
        <w:rPr>
          <w:rStyle w:val="Accentuation"/>
        </w:rPr>
        <w:t xml:space="preserve">en matière de discriminations et de délits de haine, </w:t>
      </w:r>
      <w:r w:rsidRPr="009601D7">
        <w:rPr>
          <w:rStyle w:val="Accentuation"/>
        </w:rPr>
        <w:t>ainsi que la fiabilité des instruments d’enregistrement au sein des services « statistique</w:t>
      </w:r>
      <w:r w:rsidR="00823D22">
        <w:rPr>
          <w:rStyle w:val="Accentuation"/>
        </w:rPr>
        <w:t>s</w:t>
      </w:r>
      <w:r w:rsidRPr="009601D7">
        <w:rPr>
          <w:rStyle w:val="Accentuation"/>
        </w:rPr>
        <w:t> » concernés de la police (y compris pour le volet disciplinaire) et du parquet, en impliquant le Centre.</w:t>
      </w:r>
    </w:p>
    <w:p w:rsidR="009601D7" w:rsidRDefault="009601D7" w:rsidP="00AA21B5">
      <w:pPr>
        <w:spacing w:after="0" w:line="240" w:lineRule="auto"/>
        <w:jc w:val="both"/>
        <w:rPr>
          <w:rFonts w:cstheme="minorHAnsi"/>
          <w:lang w:val="fr-FR"/>
        </w:rPr>
      </w:pPr>
    </w:p>
    <w:p w:rsidR="004F592C" w:rsidRDefault="004F592C" w:rsidP="005623BC">
      <w:pPr>
        <w:jc w:val="both"/>
        <w:rPr>
          <w:lang w:val="fr-FR"/>
        </w:rPr>
      </w:pPr>
      <w:r w:rsidRPr="00AA21B5">
        <w:rPr>
          <w:lang w:val="fr-FR"/>
        </w:rPr>
        <w:t>Des recommandations pourront alors être adressées au collège en vue d’améliorer le volet « encodage » de la circulaire.   </w:t>
      </w:r>
    </w:p>
    <w:p w:rsidR="005D281B" w:rsidRPr="00AA21B5" w:rsidRDefault="005D281B" w:rsidP="005D281B">
      <w:pPr>
        <w:spacing w:after="0"/>
        <w:jc w:val="both"/>
        <w:rPr>
          <w:lang w:val="fr-FR"/>
        </w:rPr>
      </w:pPr>
    </w:p>
    <w:p w:rsidR="00E81D32" w:rsidRPr="005623BC" w:rsidRDefault="004F592C" w:rsidP="005623BC">
      <w:pPr>
        <w:pStyle w:val="Paragraphedeliste"/>
        <w:numPr>
          <w:ilvl w:val="0"/>
          <w:numId w:val="23"/>
        </w:numPr>
        <w:ind w:left="2410" w:hanging="142"/>
        <w:jc w:val="both"/>
        <w:rPr>
          <w:i/>
          <w:iCs/>
          <w:lang w:val="fr-FR"/>
        </w:rPr>
      </w:pPr>
      <w:r w:rsidRPr="005623BC">
        <w:rPr>
          <w:i/>
          <w:iCs/>
          <w:lang w:val="fr-FR"/>
        </w:rPr>
        <w:t>For</w:t>
      </w:r>
      <w:r w:rsidR="00E81D32" w:rsidRPr="005623BC">
        <w:rPr>
          <w:i/>
          <w:iCs/>
          <w:lang w:val="fr-FR"/>
        </w:rPr>
        <w:t>mation des acteurs judiciaires </w:t>
      </w:r>
    </w:p>
    <w:p w:rsidR="009601D7" w:rsidRPr="00CD5242" w:rsidRDefault="00E81D32" w:rsidP="005D281B">
      <w:pPr>
        <w:ind w:left="2410"/>
        <w:jc w:val="both"/>
        <w:rPr>
          <w:rFonts w:cstheme="minorHAnsi"/>
          <w:i/>
          <w:iCs/>
          <w:lang w:val="fr-FR"/>
        </w:rPr>
      </w:pPr>
      <w:r w:rsidRPr="00E81D32">
        <w:rPr>
          <w:iCs/>
          <w:lang w:val="fr-FR"/>
        </w:rPr>
        <w:t>L</w:t>
      </w:r>
      <w:r w:rsidR="004F592C" w:rsidRPr="00E81D32">
        <w:rPr>
          <w:lang w:val="fr-FR"/>
        </w:rPr>
        <w:t>a circulaire invite les acteurs de référence concernés à suivre une formation. Le Centre a déjà</w:t>
      </w:r>
      <w:r w:rsidR="004F592C" w:rsidRPr="00AA21B5">
        <w:rPr>
          <w:lang w:val="fr-FR"/>
        </w:rPr>
        <w:t xml:space="preserve"> proposé plusieurs formules parmi les formations existantes</w:t>
      </w:r>
      <w:r w:rsidR="00215C79" w:rsidRPr="00AA21B5">
        <w:rPr>
          <w:lang w:val="fr-FR"/>
        </w:rPr>
        <w:t xml:space="preserve"> ainsi que </w:t>
      </w:r>
      <w:r w:rsidR="004F592C" w:rsidRPr="00AA21B5">
        <w:rPr>
          <w:lang w:val="fr-FR"/>
        </w:rPr>
        <w:t xml:space="preserve"> de nouvelles formations. </w:t>
      </w:r>
    </w:p>
    <w:p w:rsidR="00CD5242" w:rsidRPr="00AA21B5" w:rsidRDefault="00CD5242" w:rsidP="00CD5242">
      <w:pPr>
        <w:spacing w:after="0" w:line="240" w:lineRule="auto"/>
        <w:jc w:val="both"/>
        <w:rPr>
          <w:rFonts w:cstheme="minorHAnsi"/>
          <w:i/>
          <w:iCs/>
          <w:lang w:val="fr-FR"/>
        </w:rPr>
      </w:pPr>
    </w:p>
    <w:p w:rsidR="004F592C" w:rsidRDefault="004F592C" w:rsidP="00051B18">
      <w:pPr>
        <w:pStyle w:val="Citationintense"/>
        <w:rPr>
          <w:rStyle w:val="Accentuation"/>
        </w:rPr>
      </w:pPr>
      <w:r w:rsidRPr="001B2105">
        <w:rPr>
          <w:rStyle w:val="Accentuation"/>
        </w:rPr>
        <w:t>Le Centre invite les ministres concernés à organiser</w:t>
      </w:r>
      <w:r w:rsidR="00215C79" w:rsidRPr="001B2105">
        <w:rPr>
          <w:rStyle w:val="Accentuation"/>
        </w:rPr>
        <w:t>,</w:t>
      </w:r>
      <w:r w:rsidRPr="001B2105">
        <w:rPr>
          <w:rStyle w:val="Accentuation"/>
        </w:rPr>
        <w:t xml:space="preserve"> au sein de leur service</w:t>
      </w:r>
      <w:r w:rsidR="00215C79" w:rsidRPr="001B2105">
        <w:rPr>
          <w:rStyle w:val="Accentuation"/>
        </w:rPr>
        <w:t xml:space="preserve"> et en collaboration avec le </w:t>
      </w:r>
      <w:r w:rsidR="003E0AEA" w:rsidRPr="001B2105">
        <w:rPr>
          <w:rStyle w:val="Accentuation"/>
        </w:rPr>
        <w:t>Centre</w:t>
      </w:r>
      <w:r w:rsidR="00215C79" w:rsidRPr="001B2105">
        <w:rPr>
          <w:rStyle w:val="Accentuation"/>
        </w:rPr>
        <w:t>,</w:t>
      </w:r>
      <w:r w:rsidRPr="001B2105">
        <w:rPr>
          <w:rStyle w:val="Accentuation"/>
        </w:rPr>
        <w:t xml:space="preserve"> des formations adaptées pour les magistrats, les auditeurs, les inspecteurs de travail de référence ainsi que les policiers de référence</w:t>
      </w:r>
      <w:r w:rsidR="0044252E" w:rsidRPr="001B2105">
        <w:rPr>
          <w:rStyle w:val="Accentuation"/>
        </w:rPr>
        <w:t>.</w:t>
      </w:r>
    </w:p>
    <w:p w:rsidR="00CD5242" w:rsidRDefault="00CD5242" w:rsidP="00AA21B5">
      <w:pPr>
        <w:spacing w:after="0" w:line="240" w:lineRule="auto"/>
        <w:jc w:val="both"/>
        <w:rPr>
          <w:rFonts w:cstheme="minorHAnsi"/>
          <w:bCs/>
          <w:lang w:val="fr-FR"/>
        </w:rPr>
      </w:pPr>
    </w:p>
    <w:p w:rsidR="0044252E" w:rsidRDefault="0044252E" w:rsidP="00AA21B5">
      <w:pPr>
        <w:spacing w:after="0" w:line="240" w:lineRule="auto"/>
        <w:jc w:val="both"/>
        <w:rPr>
          <w:rFonts w:cstheme="minorHAnsi"/>
          <w:bCs/>
          <w:lang w:val="fr-FR"/>
        </w:rPr>
      </w:pPr>
      <w:r w:rsidRPr="00AA21B5">
        <w:rPr>
          <w:rFonts w:cstheme="minorHAnsi"/>
          <w:bCs/>
          <w:lang w:val="fr-FR"/>
        </w:rPr>
        <w:t>Le Centre se tient à disposition pour des propositions de formation.</w:t>
      </w:r>
    </w:p>
    <w:p w:rsidR="005D281B" w:rsidRPr="00AA21B5" w:rsidRDefault="005D281B" w:rsidP="00AA21B5">
      <w:pPr>
        <w:spacing w:after="0" w:line="240" w:lineRule="auto"/>
        <w:jc w:val="both"/>
        <w:rPr>
          <w:rFonts w:cstheme="minorHAnsi"/>
          <w:bCs/>
          <w:lang w:val="fr-FR"/>
        </w:rPr>
      </w:pPr>
    </w:p>
    <w:p w:rsidR="00CD5242" w:rsidRPr="00CD5242" w:rsidRDefault="00CD5242" w:rsidP="00CD5242">
      <w:pPr>
        <w:spacing w:after="0" w:line="240" w:lineRule="auto"/>
        <w:jc w:val="both"/>
        <w:rPr>
          <w:rFonts w:cstheme="minorHAnsi"/>
          <w:b/>
          <w:bCs/>
          <w:lang w:val="fr-FR"/>
        </w:rPr>
      </w:pPr>
    </w:p>
    <w:p w:rsidR="0044252E" w:rsidRPr="00CE2D6C" w:rsidRDefault="004F592C" w:rsidP="005623BC">
      <w:pPr>
        <w:pStyle w:val="Paragraphedeliste"/>
        <w:numPr>
          <w:ilvl w:val="0"/>
          <w:numId w:val="23"/>
        </w:numPr>
        <w:spacing w:after="0" w:line="240" w:lineRule="auto"/>
        <w:ind w:left="2410" w:hanging="218"/>
        <w:jc w:val="both"/>
        <w:rPr>
          <w:rFonts w:cstheme="minorHAnsi"/>
          <w:bCs/>
          <w:i/>
          <w:lang w:val="fr-FR"/>
        </w:rPr>
      </w:pPr>
      <w:r w:rsidRPr="00CE2D6C">
        <w:rPr>
          <w:rFonts w:cstheme="minorHAnsi"/>
          <w:i/>
          <w:iCs/>
          <w:lang w:val="fr-FR"/>
        </w:rPr>
        <w:t>Gratuité des pièces ainsi que des jugemen</w:t>
      </w:r>
      <w:r w:rsidR="0044252E" w:rsidRPr="00CE2D6C">
        <w:rPr>
          <w:rFonts w:cstheme="minorHAnsi"/>
          <w:i/>
          <w:iCs/>
          <w:lang w:val="fr-FR"/>
        </w:rPr>
        <w:t>ts</w:t>
      </w:r>
    </w:p>
    <w:p w:rsidR="00E81D32" w:rsidRDefault="00E81D32" w:rsidP="00AA21B5">
      <w:pPr>
        <w:spacing w:after="0" w:line="240" w:lineRule="auto"/>
        <w:jc w:val="both"/>
        <w:rPr>
          <w:rFonts w:cstheme="minorHAnsi"/>
          <w:lang w:val="fr-FR"/>
        </w:rPr>
      </w:pPr>
    </w:p>
    <w:p w:rsidR="009601D7" w:rsidRDefault="004F592C" w:rsidP="005623BC">
      <w:pPr>
        <w:ind w:left="2410"/>
        <w:jc w:val="both"/>
        <w:rPr>
          <w:b/>
          <w:bCs/>
          <w:lang w:val="fr-FR"/>
        </w:rPr>
      </w:pPr>
      <w:r w:rsidRPr="00AA21B5">
        <w:rPr>
          <w:lang w:val="fr-FR"/>
        </w:rPr>
        <w:t>La circulaire prévoit que les parquets doivent transmettre au Centre les jugements dans le cadre de ses missions. Cependant le Centre doit auprès de certains greffes s’acquitter des frais de copie de dossiers et de jugements.</w:t>
      </w:r>
      <w:r w:rsidRPr="00AA21B5">
        <w:rPr>
          <w:i/>
          <w:iCs/>
          <w:lang w:val="fr-FR"/>
        </w:rPr>
        <w:t xml:space="preserve"> </w:t>
      </w:r>
      <w:r w:rsidRPr="00AA21B5">
        <w:rPr>
          <w:lang w:val="fr-FR"/>
        </w:rPr>
        <w:t>Il existe des dispositions qui accordent aux services publics la gratuité des pièces mais les directives ne sont pas toujours claires en ce qui concerne le Centre</w:t>
      </w:r>
      <w:r w:rsidRPr="00AA21B5">
        <w:rPr>
          <w:b/>
          <w:bCs/>
          <w:lang w:val="fr-FR"/>
        </w:rPr>
        <w:t xml:space="preserve">. </w:t>
      </w:r>
    </w:p>
    <w:p w:rsidR="00E81D32" w:rsidRPr="00AA21B5" w:rsidRDefault="00E81D32" w:rsidP="00AA21B5">
      <w:pPr>
        <w:spacing w:after="0" w:line="240" w:lineRule="auto"/>
        <w:jc w:val="both"/>
        <w:rPr>
          <w:rFonts w:cstheme="minorHAnsi"/>
          <w:b/>
          <w:bCs/>
          <w:lang w:val="fr-FR"/>
        </w:rPr>
      </w:pPr>
    </w:p>
    <w:p w:rsidR="004F592C" w:rsidRPr="009601D7" w:rsidRDefault="004F592C" w:rsidP="00051B18">
      <w:pPr>
        <w:pStyle w:val="Citationintense"/>
        <w:rPr>
          <w:rStyle w:val="Accentuation"/>
        </w:rPr>
      </w:pPr>
      <w:r w:rsidRPr="009601D7">
        <w:rPr>
          <w:rStyle w:val="Accentuation"/>
        </w:rPr>
        <w:t>Le Centre invite les ministres concernés à accorder au Centre la gratuité des pièces et des jugements en clarifian</w:t>
      </w:r>
      <w:r w:rsidR="0044252E" w:rsidRPr="009601D7">
        <w:rPr>
          <w:rStyle w:val="Accentuation"/>
        </w:rPr>
        <w:t xml:space="preserve">t les dispositions existantes. </w:t>
      </w:r>
    </w:p>
    <w:p w:rsidR="000A22AE" w:rsidRDefault="000A22AE">
      <w:pPr>
        <w:rPr>
          <w:lang w:val="fr-FR"/>
        </w:rPr>
      </w:pPr>
      <w:bookmarkStart w:id="63" w:name="_Toc377028552"/>
      <w:bookmarkStart w:id="64" w:name="_Toc377030229"/>
    </w:p>
    <w:p w:rsidR="00823D22" w:rsidRDefault="00823D22">
      <w:pPr>
        <w:rPr>
          <w:lang w:val="fr-FR"/>
        </w:rPr>
      </w:pPr>
    </w:p>
    <w:p w:rsidR="00F21215" w:rsidRPr="00E81D32" w:rsidRDefault="00F21215" w:rsidP="00C062F4">
      <w:pPr>
        <w:pStyle w:val="Titre2"/>
        <w:ind w:left="0"/>
      </w:pPr>
      <w:r w:rsidRPr="00E81D32">
        <w:t>Mesures alternatives</w:t>
      </w:r>
      <w:bookmarkEnd w:id="63"/>
      <w:bookmarkEnd w:id="64"/>
      <w:r w:rsidRPr="00E81D32">
        <w:t xml:space="preserve"> </w:t>
      </w:r>
    </w:p>
    <w:p w:rsidR="0069660B" w:rsidRPr="00AA21B5" w:rsidRDefault="0069660B" w:rsidP="00AA21B5">
      <w:pPr>
        <w:spacing w:after="0" w:line="240" w:lineRule="auto"/>
        <w:jc w:val="both"/>
        <w:rPr>
          <w:rFonts w:cstheme="minorHAnsi"/>
          <w:lang w:val="fr-FR"/>
        </w:rPr>
      </w:pPr>
    </w:p>
    <w:p w:rsidR="002072FA" w:rsidRPr="00AA21B5" w:rsidRDefault="002072FA" w:rsidP="005D281B">
      <w:pPr>
        <w:spacing w:after="0"/>
        <w:jc w:val="both"/>
        <w:rPr>
          <w:lang w:val="fr-FR"/>
        </w:rPr>
      </w:pPr>
      <w:r w:rsidRPr="00AA21B5">
        <w:rPr>
          <w:lang w:val="fr-FR"/>
        </w:rPr>
        <w:t xml:space="preserve">De très nombreux dossiers pénaux relatifs à des infractions à la loi antiracisme et à la loi antidiscrimination sont classés sans suite. Souvent, le classement est inspiré par des raisons d’opportunité. Pourtant, l’absence de signal émis à l’encontre des auteurs suscite un sentiment </w:t>
      </w:r>
      <w:r w:rsidRPr="00AA21B5">
        <w:rPr>
          <w:lang w:val="fr-FR"/>
        </w:rPr>
        <w:lastRenderedPageBreak/>
        <w:t xml:space="preserve">d’impunité. Dans la pratique, le Centre constate ce fait </w:t>
      </w:r>
      <w:r w:rsidR="00215C79" w:rsidRPr="00AA21B5">
        <w:rPr>
          <w:lang w:val="fr-FR"/>
        </w:rPr>
        <w:t xml:space="preserve">essentiellement </w:t>
      </w:r>
      <w:r w:rsidRPr="00AA21B5">
        <w:rPr>
          <w:lang w:val="fr-FR"/>
        </w:rPr>
        <w:t>d</w:t>
      </w:r>
      <w:r w:rsidR="00215C79" w:rsidRPr="00AA21B5">
        <w:rPr>
          <w:lang w:val="fr-FR"/>
        </w:rPr>
        <w:t>ans le cadre d</w:t>
      </w:r>
      <w:r w:rsidRPr="00AA21B5">
        <w:rPr>
          <w:lang w:val="fr-FR"/>
        </w:rPr>
        <w:t xml:space="preserve">e la </w:t>
      </w:r>
      <w:proofErr w:type="spellStart"/>
      <w:r w:rsidRPr="00AA21B5">
        <w:rPr>
          <w:i/>
          <w:lang w:val="fr-FR"/>
        </w:rPr>
        <w:t>cyberhaine</w:t>
      </w:r>
      <w:proofErr w:type="spellEnd"/>
      <w:r w:rsidRPr="00AA21B5">
        <w:rPr>
          <w:i/>
          <w:lang w:val="fr-FR"/>
        </w:rPr>
        <w:t xml:space="preserve"> </w:t>
      </w:r>
      <w:r w:rsidRPr="00AA21B5">
        <w:rPr>
          <w:lang w:val="fr-FR"/>
        </w:rPr>
        <w:t xml:space="preserve">(voir ci-dessous, également en rapport avec la correctionnalisation de </w:t>
      </w:r>
      <w:r w:rsidR="00215C79" w:rsidRPr="00AA21B5">
        <w:rPr>
          <w:lang w:val="fr-FR"/>
        </w:rPr>
        <w:t>« </w:t>
      </w:r>
      <w:r w:rsidRPr="00AA21B5">
        <w:rPr>
          <w:lang w:val="fr-FR"/>
        </w:rPr>
        <w:t>délits de presse discriminatoires</w:t>
      </w:r>
      <w:r w:rsidR="00215C79" w:rsidRPr="00AA21B5">
        <w:rPr>
          <w:lang w:val="fr-FR"/>
        </w:rPr>
        <w:t> »</w:t>
      </w:r>
      <w:r w:rsidRPr="00AA21B5">
        <w:rPr>
          <w:lang w:val="fr-FR"/>
        </w:rPr>
        <w:t>).</w:t>
      </w:r>
    </w:p>
    <w:p w:rsidR="00215C79" w:rsidRPr="00AA21B5" w:rsidRDefault="00215C79" w:rsidP="005D281B">
      <w:pPr>
        <w:spacing w:after="0" w:line="240" w:lineRule="auto"/>
        <w:jc w:val="both"/>
        <w:rPr>
          <w:rFonts w:cstheme="minorHAnsi"/>
          <w:szCs w:val="24"/>
          <w:lang w:val="fr-FR"/>
        </w:rPr>
      </w:pPr>
    </w:p>
    <w:p w:rsidR="0069660B" w:rsidRPr="00AA21B5" w:rsidRDefault="008F7A8C" w:rsidP="0041651C">
      <w:pPr>
        <w:spacing w:after="0"/>
        <w:jc w:val="both"/>
        <w:rPr>
          <w:rFonts w:cstheme="minorHAnsi"/>
          <w:lang w:val="fr-FR"/>
        </w:rPr>
      </w:pPr>
      <w:r w:rsidRPr="00AA21B5">
        <w:rPr>
          <w:lang w:val="fr-FR"/>
        </w:rPr>
        <w:t xml:space="preserve">Par cette constatation, le Centre ne plaide pas pour une approche purement répressive du phénomène. La recherche et l’expérience démontrent que l’arbitrage dans des affaires pénales et les mesures alternatives peuvent avoir un impact positif à la fois sur l’auteur et la victime.  Aujourd’hui, cette option est plutôt rarement envisagée dans les affaires de discrimination et de racisme, notamment parce qu’il n’existe pas de proposition spécifique.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295F3F" w:rsidRPr="00AA21B5" w:rsidTr="009601D7">
        <w:tc>
          <w:tcPr>
            <w:tcW w:w="9212" w:type="dxa"/>
          </w:tcPr>
          <w:p w:rsidR="00E81D32" w:rsidRDefault="00E81D32" w:rsidP="00AA21B5">
            <w:pPr>
              <w:jc w:val="both"/>
              <w:rPr>
                <w:rFonts w:cstheme="minorHAnsi"/>
                <w:b/>
                <w:szCs w:val="24"/>
                <w:lang w:val="fr-FR"/>
              </w:rPr>
            </w:pPr>
          </w:p>
          <w:p w:rsidR="00E81D32" w:rsidRPr="00AA21B5" w:rsidRDefault="008F7A8C" w:rsidP="00051B18">
            <w:pPr>
              <w:pStyle w:val="Citationintense"/>
              <w:rPr>
                <w:rFonts w:cstheme="minorHAnsi"/>
                <w:szCs w:val="24"/>
              </w:rPr>
            </w:pPr>
            <w:r w:rsidRPr="009601D7">
              <w:rPr>
                <w:rStyle w:val="Accentuation"/>
              </w:rPr>
              <w:t>Le Centre demande que l’on investisse dans des mesures alternatives adaptées pour certaines formes pénales de racisme et de discrimination.</w:t>
            </w:r>
          </w:p>
        </w:tc>
      </w:tr>
    </w:tbl>
    <w:p w:rsidR="001305BA" w:rsidRDefault="001305BA">
      <w:pPr>
        <w:rPr>
          <w:rFonts w:asciiTheme="majorHAnsi" w:eastAsiaTheme="majorEastAsia" w:hAnsiTheme="majorHAnsi" w:cstheme="majorBidi"/>
          <w:smallCaps/>
          <w:color w:val="17365D" w:themeColor="text2" w:themeShade="BF"/>
          <w:spacing w:val="20"/>
          <w:sz w:val="24"/>
          <w:szCs w:val="28"/>
        </w:rPr>
      </w:pPr>
      <w:bookmarkStart w:id="65" w:name="_Toc377028553"/>
      <w:bookmarkStart w:id="66" w:name="_Toc377030230"/>
    </w:p>
    <w:p w:rsidR="00A3688E" w:rsidRPr="00E81D32" w:rsidRDefault="00A3688E" w:rsidP="00C062F4">
      <w:pPr>
        <w:pStyle w:val="Titre2"/>
        <w:ind w:left="0"/>
      </w:pPr>
      <w:r w:rsidRPr="00E81D32">
        <w:t>Correctionnalisation des délits de presse discriminatoires</w:t>
      </w:r>
      <w:bookmarkEnd w:id="65"/>
      <w:bookmarkEnd w:id="66"/>
    </w:p>
    <w:p w:rsidR="00E81D32" w:rsidRDefault="00E81D32" w:rsidP="0041651C">
      <w:pPr>
        <w:spacing w:after="0" w:line="240" w:lineRule="auto"/>
        <w:jc w:val="both"/>
        <w:rPr>
          <w:rFonts w:cstheme="minorHAnsi"/>
          <w:lang w:val="fr-FR"/>
        </w:rPr>
      </w:pPr>
    </w:p>
    <w:p w:rsidR="00A3688E" w:rsidRDefault="00A3688E" w:rsidP="0041651C">
      <w:pPr>
        <w:spacing w:after="0"/>
        <w:jc w:val="both"/>
        <w:rPr>
          <w:lang w:val="fr-FR"/>
        </w:rPr>
      </w:pPr>
      <w:r w:rsidRPr="00AA21B5">
        <w:rPr>
          <w:lang w:val="fr-FR"/>
        </w:rPr>
        <w:t xml:space="preserve">L’objectif de cette proposition est de lutter contre l’impunité relative des délits de presse discriminatoires. Depuis la fin de la seconde guerre mondiale, il n’y a eu que deux procès d’assises pour des délits de presse (dont un pour des tracts racistes diffusés par un parti extrémiste) en Belgique.  Autant dire que c’est la porte ouverte à une quasi-impunité de fait et que l’effectivité de l’application de la loi de 2007 s’en trouve singulièrement réduite. </w:t>
      </w:r>
    </w:p>
    <w:p w:rsidR="00E81D32" w:rsidRPr="00AA21B5" w:rsidRDefault="00E81D32" w:rsidP="0041651C">
      <w:pPr>
        <w:spacing w:after="0" w:line="240" w:lineRule="auto"/>
        <w:jc w:val="both"/>
        <w:rPr>
          <w:rFonts w:cstheme="minorHAnsi"/>
          <w:lang w:val="fr-FR"/>
        </w:rPr>
      </w:pPr>
    </w:p>
    <w:p w:rsidR="00A3688E" w:rsidRDefault="00A3688E" w:rsidP="0041651C">
      <w:pPr>
        <w:spacing w:after="0"/>
        <w:jc w:val="both"/>
        <w:rPr>
          <w:lang w:val="fr-FR"/>
        </w:rPr>
      </w:pPr>
      <w:r w:rsidRPr="00AA21B5">
        <w:rPr>
          <w:lang w:val="fr-FR"/>
        </w:rPr>
        <w:t>Le Centre a recensé dernièrement de nombreux dossiers d’incitation à la haine et à la violence contre des personnes en raison de leur conviction religieuse ou de leur orientation sexuelle</w:t>
      </w:r>
      <w:r w:rsidR="00215C79" w:rsidRPr="00AA21B5">
        <w:rPr>
          <w:lang w:val="fr-FR"/>
        </w:rPr>
        <w:t xml:space="preserve">. </w:t>
      </w:r>
      <w:r w:rsidRPr="00AA21B5">
        <w:rPr>
          <w:lang w:val="fr-FR"/>
        </w:rPr>
        <w:t xml:space="preserve"> Il s’agit donc d’un problème sociétal conséquent.</w:t>
      </w:r>
    </w:p>
    <w:p w:rsidR="00E81D32" w:rsidRPr="00AA21B5" w:rsidRDefault="00E81D32" w:rsidP="0041651C">
      <w:pPr>
        <w:spacing w:after="0"/>
        <w:jc w:val="both"/>
        <w:rPr>
          <w:lang w:val="fr-FR"/>
        </w:rPr>
      </w:pPr>
    </w:p>
    <w:p w:rsidR="00A3688E" w:rsidRDefault="00A3688E" w:rsidP="0041651C">
      <w:pPr>
        <w:spacing w:after="0"/>
        <w:jc w:val="both"/>
        <w:rPr>
          <w:iCs/>
          <w:lang w:val="fr-FR"/>
        </w:rPr>
      </w:pPr>
      <w:r w:rsidRPr="00AA21B5">
        <w:rPr>
          <w:lang w:val="fr-FR"/>
        </w:rPr>
        <w:t xml:space="preserve">Il est difficile de comprendre, et de défendre le fait que l’incitation à la violence, à la discrimination ou à la haine sur base de l’orientation sexuelle ou de la religion soit moins facilement </w:t>
      </w:r>
      <w:proofErr w:type="spellStart"/>
      <w:r w:rsidRPr="00AA21B5">
        <w:rPr>
          <w:lang w:val="fr-FR"/>
        </w:rPr>
        <w:t>réprimable</w:t>
      </w:r>
      <w:proofErr w:type="spellEnd"/>
      <w:r w:rsidRPr="00AA21B5">
        <w:rPr>
          <w:lang w:val="fr-FR"/>
        </w:rPr>
        <w:t xml:space="preserve"> que celle fondée sur un critère racial. La Cour européenne des droits de l’Homme, dans un arrêt du 27 septembre 1999 (</w:t>
      </w:r>
      <w:r w:rsidRPr="00AA21B5">
        <w:rPr>
          <w:i/>
          <w:lang w:val="fr-FR"/>
        </w:rPr>
        <w:t xml:space="preserve">Smith et </w:t>
      </w:r>
      <w:proofErr w:type="spellStart"/>
      <w:r w:rsidRPr="00AA21B5">
        <w:rPr>
          <w:i/>
          <w:lang w:val="fr-FR"/>
        </w:rPr>
        <w:t>Grady</w:t>
      </w:r>
      <w:proofErr w:type="spellEnd"/>
      <w:r w:rsidRPr="00AA21B5">
        <w:rPr>
          <w:i/>
          <w:lang w:val="fr-FR"/>
        </w:rPr>
        <w:t xml:space="preserve"> c. Royaume-Uni),</w:t>
      </w:r>
      <w:r w:rsidRPr="00AA21B5">
        <w:rPr>
          <w:lang w:val="fr-FR"/>
        </w:rPr>
        <w:t xml:space="preserve"> a considéré que les discriminations fondées </w:t>
      </w:r>
      <w:r w:rsidRPr="00AA21B5">
        <w:rPr>
          <w:iCs/>
          <w:lang w:val="fr-FR"/>
        </w:rPr>
        <w:t>sur l’orientation sexuelle sont aussi sérieuses (« </w:t>
      </w:r>
      <w:r w:rsidRPr="00AA21B5">
        <w:rPr>
          <w:i/>
          <w:iCs/>
          <w:lang w:val="fr-FR"/>
        </w:rPr>
        <w:t xml:space="preserve">as </w:t>
      </w:r>
      <w:proofErr w:type="spellStart"/>
      <w:r w:rsidRPr="00AA21B5">
        <w:rPr>
          <w:i/>
          <w:iCs/>
          <w:lang w:val="fr-FR"/>
        </w:rPr>
        <w:t>serious</w:t>
      </w:r>
      <w:proofErr w:type="spellEnd"/>
      <w:r w:rsidRPr="00AA21B5">
        <w:rPr>
          <w:i/>
          <w:iCs/>
          <w:lang w:val="fr-FR"/>
        </w:rPr>
        <w:t xml:space="preserve"> as</w:t>
      </w:r>
      <w:r w:rsidRPr="00AA21B5">
        <w:rPr>
          <w:iCs/>
          <w:lang w:val="fr-FR"/>
        </w:rPr>
        <w:t> ») que celles fondées sur la race, l’origine ou la couleur de peau.  Le maintien d’une différence entre ces phénomènes ne serait pas conforme à l’enseignement de la Cour.</w:t>
      </w:r>
    </w:p>
    <w:p w:rsidR="009601D7" w:rsidRDefault="009601D7" w:rsidP="005D281B">
      <w:pPr>
        <w:spacing w:after="0" w:line="240" w:lineRule="auto"/>
        <w:jc w:val="both"/>
        <w:rPr>
          <w:rFonts w:cstheme="minorHAnsi"/>
          <w:iCs/>
          <w:lang w:val="fr-FR"/>
        </w:rPr>
      </w:pPr>
    </w:p>
    <w:p w:rsidR="00E81D32" w:rsidRPr="00AA21B5" w:rsidRDefault="00E81D32" w:rsidP="00AA21B5">
      <w:pPr>
        <w:spacing w:after="0" w:line="240" w:lineRule="auto"/>
        <w:jc w:val="both"/>
        <w:rPr>
          <w:rFonts w:cstheme="minorHAnsi"/>
          <w:lang w:val="fr-FR"/>
        </w:rPr>
      </w:pPr>
    </w:p>
    <w:p w:rsidR="007B3441" w:rsidRPr="007B3441" w:rsidRDefault="00A3688E" w:rsidP="00051B18">
      <w:pPr>
        <w:pStyle w:val="Citationintense"/>
      </w:pPr>
      <w:r w:rsidRPr="009601D7">
        <w:rPr>
          <w:rStyle w:val="Accentuation"/>
        </w:rPr>
        <w:t>Pour qu’un débat puisse avoir lieu sur l’extension de la correctionnalisation des délits de presse à d’autres critères que les critères raciaux, le Centre plaide pour que l’article 150 de la Constitution soit déclaré ouvert à révision pour la prochaine législature.</w:t>
      </w:r>
    </w:p>
    <w:p w:rsidR="005F362C" w:rsidRDefault="005F362C">
      <w:pPr>
        <w:rPr>
          <w:rFonts w:asciiTheme="majorHAnsi" w:eastAsiaTheme="majorEastAsia" w:hAnsiTheme="majorHAnsi" w:cstheme="majorBidi"/>
          <w:smallCaps/>
          <w:color w:val="0F243E" w:themeColor="text2" w:themeShade="7F"/>
          <w:spacing w:val="20"/>
          <w:sz w:val="32"/>
          <w:szCs w:val="32"/>
        </w:rPr>
      </w:pPr>
      <w:bookmarkStart w:id="67" w:name="_Toc377028554"/>
      <w:bookmarkStart w:id="68" w:name="_Toc377030231"/>
      <w:r>
        <w:br w:type="page"/>
      </w:r>
    </w:p>
    <w:p w:rsidR="009776FD" w:rsidRPr="00E81D32" w:rsidRDefault="009776FD" w:rsidP="009601D7">
      <w:pPr>
        <w:pStyle w:val="Titre1"/>
        <w:ind w:left="0"/>
      </w:pPr>
      <w:r w:rsidRPr="00E81D32">
        <w:lastRenderedPageBreak/>
        <w:t>Égalité des chances</w:t>
      </w:r>
      <w:bookmarkEnd w:id="67"/>
      <w:bookmarkEnd w:id="68"/>
    </w:p>
    <w:p w:rsidR="00F21764" w:rsidRPr="00AA21B5" w:rsidRDefault="00F21764" w:rsidP="00AA21B5">
      <w:pPr>
        <w:spacing w:after="0" w:line="240" w:lineRule="auto"/>
        <w:jc w:val="both"/>
        <w:rPr>
          <w:rFonts w:cstheme="minorHAnsi"/>
          <w:lang w:val="fr-FR"/>
        </w:rPr>
      </w:pPr>
    </w:p>
    <w:p w:rsidR="00674C14" w:rsidRPr="00E81D32" w:rsidRDefault="00674C14" w:rsidP="009601D7">
      <w:pPr>
        <w:pStyle w:val="Titre2"/>
        <w:ind w:left="0"/>
      </w:pPr>
      <w:bookmarkStart w:id="69" w:name="_Toc377028555"/>
      <w:bookmarkStart w:id="70" w:name="_Toc377030232"/>
      <w:r w:rsidRPr="00E81D32">
        <w:t>Évaluation de</w:t>
      </w:r>
      <w:r w:rsidR="00D95DD5" w:rsidRPr="00E81D32">
        <w:t xml:space="preserve"> la</w:t>
      </w:r>
      <w:r w:rsidRPr="00E81D32">
        <w:t xml:space="preserve"> législation antidiscrimination</w:t>
      </w:r>
      <w:bookmarkEnd w:id="69"/>
      <w:bookmarkEnd w:id="70"/>
    </w:p>
    <w:p w:rsidR="0069660B" w:rsidRPr="00AA21B5" w:rsidRDefault="0069660B" w:rsidP="00AA21B5">
      <w:pPr>
        <w:spacing w:after="0" w:line="240" w:lineRule="auto"/>
        <w:jc w:val="both"/>
        <w:rPr>
          <w:rFonts w:cstheme="minorHAnsi"/>
          <w:lang w:val="fr-FR"/>
        </w:rPr>
      </w:pPr>
    </w:p>
    <w:p w:rsidR="00232B36" w:rsidRDefault="00232B36" w:rsidP="005D281B">
      <w:pPr>
        <w:spacing w:after="0"/>
        <w:jc w:val="both"/>
        <w:rPr>
          <w:lang w:val="fr-FR"/>
        </w:rPr>
      </w:pPr>
      <w:r w:rsidRPr="00AA21B5">
        <w:rPr>
          <w:lang w:val="fr-FR"/>
        </w:rPr>
        <w:t>L’article 52 de la loi du 10 mai 2007 prévoit qu’une évaluation des trois lois contre la discrimination (genre, antiracisme et antidiscrimination) doit être faite par le Parlement tous les cinq ans.</w:t>
      </w:r>
    </w:p>
    <w:p w:rsidR="00E81D32" w:rsidRPr="00AA21B5" w:rsidRDefault="00E81D32" w:rsidP="005D281B">
      <w:pPr>
        <w:spacing w:after="0"/>
        <w:jc w:val="both"/>
        <w:rPr>
          <w:lang w:val="fr-FR"/>
        </w:rPr>
      </w:pPr>
    </w:p>
    <w:p w:rsidR="00232B36" w:rsidRDefault="00232B36" w:rsidP="005D281B">
      <w:pPr>
        <w:spacing w:after="0"/>
        <w:jc w:val="both"/>
        <w:rPr>
          <w:lang w:val="fr-FR"/>
        </w:rPr>
      </w:pPr>
      <w:r w:rsidRPr="00AA21B5">
        <w:rPr>
          <w:lang w:val="fr-FR"/>
        </w:rPr>
        <w:t>Dans l’attente de cette évaluation et parce que la première échéance de cinq ans est échue, le Centre a communiqué les points clés sur lequel son rapport d’évaluation portera.  Le Centre se base, pour l’essentiel, sur la casuistique des dossiers qu’il a été amené à traiter.</w:t>
      </w:r>
    </w:p>
    <w:p w:rsidR="007B3441" w:rsidRDefault="007B3441">
      <w:pPr>
        <w:rPr>
          <w:rFonts w:cstheme="minorHAnsi"/>
          <w:lang w:val="fr-FR"/>
        </w:rPr>
      </w:pPr>
    </w:p>
    <w:p w:rsidR="00232B36" w:rsidRPr="009601D7" w:rsidRDefault="00232B36" w:rsidP="00051B18">
      <w:pPr>
        <w:pStyle w:val="Citationintense"/>
        <w:rPr>
          <w:rStyle w:val="Accentuation"/>
        </w:rPr>
      </w:pPr>
      <w:r w:rsidRPr="009601D7">
        <w:rPr>
          <w:rStyle w:val="Accentuation"/>
        </w:rPr>
        <w:t>Le</w:t>
      </w:r>
      <w:r w:rsidR="005F59C6" w:rsidRPr="009601D7">
        <w:rPr>
          <w:rStyle w:val="Accentuation"/>
        </w:rPr>
        <w:t xml:space="preserve"> Centre demande que</w:t>
      </w:r>
      <w:r w:rsidRPr="009601D7">
        <w:rPr>
          <w:rStyle w:val="Accentuation"/>
        </w:rPr>
        <w:t xml:space="preserve"> </w:t>
      </w:r>
      <w:r w:rsidR="005F59C6" w:rsidRPr="009601D7">
        <w:rPr>
          <w:rStyle w:val="Accentuation"/>
        </w:rPr>
        <w:t xml:space="preserve">le </w:t>
      </w:r>
      <w:r w:rsidRPr="009601D7">
        <w:rPr>
          <w:rStyle w:val="Accentuation"/>
        </w:rPr>
        <w:t>Parlement proc</w:t>
      </w:r>
      <w:r w:rsidR="005F59C6" w:rsidRPr="009601D7">
        <w:rPr>
          <w:rStyle w:val="Accentuation"/>
        </w:rPr>
        <w:t xml:space="preserve">ède </w:t>
      </w:r>
      <w:r w:rsidRPr="009601D7">
        <w:rPr>
          <w:rStyle w:val="Accentuation"/>
        </w:rPr>
        <w:t xml:space="preserve"> à </w:t>
      </w:r>
      <w:r w:rsidR="00D95DD5" w:rsidRPr="009601D7">
        <w:rPr>
          <w:rStyle w:val="Accentuation"/>
        </w:rPr>
        <w:t>l’</w:t>
      </w:r>
      <w:r w:rsidRPr="009601D7">
        <w:rPr>
          <w:rStyle w:val="Accentuation"/>
        </w:rPr>
        <w:t xml:space="preserve">évaluation </w:t>
      </w:r>
      <w:r w:rsidR="00D95DD5" w:rsidRPr="009601D7">
        <w:rPr>
          <w:rStyle w:val="Accentuation"/>
        </w:rPr>
        <w:t xml:space="preserve">de la législation antidiscrimination </w:t>
      </w:r>
      <w:r w:rsidRPr="009601D7">
        <w:rPr>
          <w:rStyle w:val="Accentuation"/>
        </w:rPr>
        <w:t xml:space="preserve">en vue d’améliorer et d’affiner </w:t>
      </w:r>
      <w:r w:rsidR="007B3441">
        <w:rPr>
          <w:rStyle w:val="Accentuation"/>
        </w:rPr>
        <w:t>l</w:t>
      </w:r>
      <w:r w:rsidRPr="009601D7">
        <w:rPr>
          <w:rStyle w:val="Accentuation"/>
        </w:rPr>
        <w:t xml:space="preserve">a législation </w:t>
      </w:r>
      <w:r w:rsidR="00C34BFC" w:rsidRPr="009601D7">
        <w:rPr>
          <w:rStyle w:val="Accentuation"/>
        </w:rPr>
        <w:t>existante</w:t>
      </w:r>
      <w:r w:rsidRPr="009601D7">
        <w:rPr>
          <w:rStyle w:val="Accentuation"/>
        </w:rPr>
        <w:t>.</w:t>
      </w:r>
    </w:p>
    <w:p w:rsidR="00E81D32" w:rsidRDefault="00E81D32" w:rsidP="00AA21B5">
      <w:pPr>
        <w:spacing w:after="0" w:line="240" w:lineRule="auto"/>
        <w:jc w:val="both"/>
        <w:rPr>
          <w:rFonts w:cstheme="minorHAnsi"/>
          <w:lang w:val="fr-FR"/>
        </w:rPr>
      </w:pPr>
    </w:p>
    <w:p w:rsidR="00232B36" w:rsidRPr="00AA21B5" w:rsidRDefault="00295F3F" w:rsidP="005623BC">
      <w:pPr>
        <w:jc w:val="both"/>
        <w:rPr>
          <w:lang w:val="fr-FR"/>
        </w:rPr>
      </w:pPr>
      <w:r w:rsidRPr="00AA21B5">
        <w:rPr>
          <w:lang w:val="fr-FR"/>
        </w:rPr>
        <w:t>Le Centre a publié sur son site web</w:t>
      </w:r>
      <w:r w:rsidRPr="00AA21B5">
        <w:rPr>
          <w:rStyle w:val="Appelnotedebasdep"/>
          <w:rFonts w:cstheme="minorHAnsi"/>
          <w:lang w:val="fr-FR"/>
        </w:rPr>
        <w:footnoteReference w:id="7"/>
      </w:r>
      <w:r w:rsidRPr="00AA21B5">
        <w:rPr>
          <w:lang w:val="fr-FR"/>
        </w:rPr>
        <w:t xml:space="preserve"> </w:t>
      </w:r>
      <w:r w:rsidR="00A0556E" w:rsidRPr="00AA21B5">
        <w:rPr>
          <w:lang w:val="fr-FR"/>
        </w:rPr>
        <w:t>une</w:t>
      </w:r>
      <w:r w:rsidRPr="00AA21B5">
        <w:rPr>
          <w:lang w:val="fr-FR"/>
        </w:rPr>
        <w:t xml:space="preserve"> synthèse des éléments essentiels qu’il souhaite aborder dans le cadre de cette évaluation.  Sans être exhaustif</w:t>
      </w:r>
      <w:r w:rsidR="00776866" w:rsidRPr="00AA21B5">
        <w:rPr>
          <w:lang w:val="fr-FR"/>
        </w:rPr>
        <w:t>,</w:t>
      </w:r>
      <w:r w:rsidR="00232B36" w:rsidRPr="00AA21B5">
        <w:rPr>
          <w:lang w:val="fr-FR"/>
        </w:rPr>
        <w:t xml:space="preserve"> </w:t>
      </w:r>
      <w:r w:rsidRPr="00AA21B5">
        <w:rPr>
          <w:lang w:val="fr-FR"/>
        </w:rPr>
        <w:t>voici quelques points qui retiennent son attention : a</w:t>
      </w:r>
      <w:r w:rsidR="00232B36" w:rsidRPr="00AA21B5">
        <w:rPr>
          <w:lang w:val="fr-FR"/>
        </w:rPr>
        <w:t>doption d’un arrêté roya</w:t>
      </w:r>
      <w:r w:rsidRPr="00AA21B5">
        <w:rPr>
          <w:lang w:val="fr-FR"/>
        </w:rPr>
        <w:t>l relatif aux actions positives</w:t>
      </w:r>
      <w:r w:rsidR="00215C79" w:rsidRPr="00AA21B5">
        <w:rPr>
          <w:lang w:val="fr-FR"/>
        </w:rPr>
        <w:t xml:space="preserve"> ; </w:t>
      </w:r>
      <w:r w:rsidRPr="00AA21B5">
        <w:rPr>
          <w:lang w:val="fr-FR"/>
        </w:rPr>
        <w:t xml:space="preserve"> a</w:t>
      </w:r>
      <w:r w:rsidR="00232B36" w:rsidRPr="00AA21B5">
        <w:rPr>
          <w:lang w:val="fr-FR"/>
        </w:rPr>
        <w:t>rrêté royal relatif aux exigences professionnelles essentielles et détermin</w:t>
      </w:r>
      <w:r w:rsidRPr="00AA21B5">
        <w:rPr>
          <w:lang w:val="fr-FR"/>
        </w:rPr>
        <w:t>antes</w:t>
      </w:r>
      <w:r w:rsidR="00215C79" w:rsidRPr="00AA21B5">
        <w:rPr>
          <w:lang w:val="fr-FR"/>
        </w:rPr>
        <w:t> ;</w:t>
      </w:r>
      <w:r w:rsidRPr="00AA21B5">
        <w:rPr>
          <w:lang w:val="fr-FR"/>
        </w:rPr>
        <w:t xml:space="preserve"> d</w:t>
      </w:r>
      <w:r w:rsidR="00232B36" w:rsidRPr="00AA21B5">
        <w:rPr>
          <w:lang w:val="fr-FR"/>
        </w:rPr>
        <w:t>iscriminations multiples</w:t>
      </w:r>
      <w:r w:rsidR="00215C79" w:rsidRPr="00AA21B5">
        <w:rPr>
          <w:lang w:val="fr-FR"/>
        </w:rPr>
        <w:t> ;</w:t>
      </w:r>
      <w:r w:rsidRPr="00AA21B5">
        <w:rPr>
          <w:lang w:val="fr-FR"/>
        </w:rPr>
        <w:t xml:space="preserve"> c</w:t>
      </w:r>
      <w:r w:rsidR="00232B36" w:rsidRPr="00AA21B5">
        <w:rPr>
          <w:lang w:val="fr-FR"/>
        </w:rPr>
        <w:t>ompatibilité avec la loi sur l’abus de faiblesse</w:t>
      </w:r>
      <w:r w:rsidR="00215C79" w:rsidRPr="00AA21B5">
        <w:rPr>
          <w:lang w:val="fr-FR"/>
        </w:rPr>
        <w:t> ;</w:t>
      </w:r>
      <w:r w:rsidRPr="00AA21B5">
        <w:rPr>
          <w:lang w:val="fr-FR"/>
        </w:rPr>
        <w:t xml:space="preserve"> m</w:t>
      </w:r>
      <w:r w:rsidR="00232B36" w:rsidRPr="00AA21B5">
        <w:rPr>
          <w:lang w:val="fr-FR"/>
        </w:rPr>
        <w:t>otif de justification âge en matière d’emploi ou de sécurité sociale</w:t>
      </w:r>
      <w:r w:rsidR="00215C79" w:rsidRPr="00AA21B5">
        <w:rPr>
          <w:lang w:val="fr-FR"/>
        </w:rPr>
        <w:t> ;</w:t>
      </w:r>
      <w:r w:rsidRPr="00AA21B5">
        <w:rPr>
          <w:lang w:val="fr-FR"/>
        </w:rPr>
        <w:t xml:space="preserve"> m</w:t>
      </w:r>
      <w:r w:rsidR="00232B36" w:rsidRPr="00AA21B5">
        <w:rPr>
          <w:lang w:val="fr-FR"/>
        </w:rPr>
        <w:t>aladie de longue durée assimilée au handicap</w:t>
      </w:r>
      <w:r w:rsidR="00215C79" w:rsidRPr="00AA21B5">
        <w:rPr>
          <w:lang w:val="fr-FR"/>
        </w:rPr>
        <w:t> ;</w:t>
      </w:r>
      <w:r w:rsidRPr="00AA21B5">
        <w:rPr>
          <w:lang w:val="fr-FR"/>
        </w:rPr>
        <w:t xml:space="preserve"> m</w:t>
      </w:r>
      <w:r w:rsidR="00232B36" w:rsidRPr="00AA21B5">
        <w:rPr>
          <w:lang w:val="fr-FR"/>
        </w:rPr>
        <w:t>ontant des dommages forfaitaires hors emploi</w:t>
      </w:r>
      <w:r w:rsidR="00E81D32">
        <w:rPr>
          <w:lang w:val="fr-FR"/>
        </w:rPr>
        <w:t>,</w:t>
      </w:r>
      <w:r w:rsidRPr="00AA21B5">
        <w:rPr>
          <w:lang w:val="fr-FR"/>
        </w:rPr>
        <w:t>…</w:t>
      </w:r>
    </w:p>
    <w:p w:rsidR="009601D7" w:rsidRDefault="009601D7" w:rsidP="009601D7">
      <w:pPr>
        <w:pStyle w:val="Titre2"/>
        <w:ind w:left="0"/>
      </w:pPr>
      <w:bookmarkStart w:id="71" w:name="_Toc377028556"/>
      <w:bookmarkStart w:id="72" w:name="_Toc377030233"/>
    </w:p>
    <w:p w:rsidR="00D50E38" w:rsidRPr="00E81D32" w:rsidRDefault="00D50E38" w:rsidP="009601D7">
      <w:pPr>
        <w:pStyle w:val="Titre2"/>
        <w:ind w:left="0"/>
      </w:pPr>
      <w:r w:rsidRPr="00E81D32">
        <w:t>FIPI – niveau fédéral</w:t>
      </w:r>
      <w:bookmarkEnd w:id="71"/>
      <w:bookmarkEnd w:id="72"/>
    </w:p>
    <w:p w:rsidR="0069660B" w:rsidRPr="00AA21B5" w:rsidRDefault="0069660B" w:rsidP="00AA21B5">
      <w:pPr>
        <w:spacing w:after="0" w:line="240" w:lineRule="auto"/>
        <w:jc w:val="both"/>
        <w:rPr>
          <w:rFonts w:cstheme="minorHAnsi"/>
          <w:lang w:val="fr-FR"/>
        </w:rPr>
      </w:pPr>
    </w:p>
    <w:p w:rsidR="00D50E38" w:rsidRDefault="00D50E38" w:rsidP="007B3441">
      <w:pPr>
        <w:jc w:val="both"/>
        <w:rPr>
          <w:lang w:val="fr-FR"/>
        </w:rPr>
      </w:pPr>
      <w:r w:rsidRPr="00AA21B5">
        <w:rPr>
          <w:lang w:val="fr-FR"/>
        </w:rPr>
        <w:t xml:space="preserve">Les moyens du FIPI auront été </w:t>
      </w:r>
      <w:r w:rsidR="00A0556E" w:rsidRPr="00AA21B5">
        <w:rPr>
          <w:lang w:val="fr-FR"/>
        </w:rPr>
        <w:t>transférés</w:t>
      </w:r>
      <w:r w:rsidR="0041651C">
        <w:rPr>
          <w:lang w:val="fr-FR"/>
        </w:rPr>
        <w:t xml:space="preserve"> au niveau des Communautés et R</w:t>
      </w:r>
      <w:r w:rsidRPr="00AA21B5">
        <w:rPr>
          <w:lang w:val="fr-FR"/>
        </w:rPr>
        <w:t>égions pour 2014/2015.  Il reste à déterminer le sort qui sera rése</w:t>
      </w:r>
      <w:r w:rsidR="006E36E2" w:rsidRPr="00AA21B5">
        <w:rPr>
          <w:lang w:val="fr-FR"/>
        </w:rPr>
        <w:t>rvé à la part fédérale du FIPI (+/- 1.600.000 euros/an).</w:t>
      </w:r>
    </w:p>
    <w:p w:rsidR="00E81D32" w:rsidRPr="00AA21B5" w:rsidRDefault="00E81D32" w:rsidP="00AA21B5">
      <w:pPr>
        <w:spacing w:after="0" w:line="240" w:lineRule="auto"/>
        <w:jc w:val="both"/>
        <w:rPr>
          <w:rFonts w:cstheme="minorHAnsi"/>
          <w:lang w:val="fr-FR"/>
        </w:rPr>
      </w:pPr>
    </w:p>
    <w:p w:rsidR="006E36E2" w:rsidRPr="009601D7" w:rsidRDefault="006E36E2" w:rsidP="00051B18">
      <w:pPr>
        <w:pStyle w:val="Citationintense"/>
        <w:rPr>
          <w:rStyle w:val="Accentuation"/>
        </w:rPr>
      </w:pPr>
      <w:r w:rsidRPr="009601D7">
        <w:rPr>
          <w:rStyle w:val="Accentuation"/>
        </w:rPr>
        <w:t xml:space="preserve">Le Centre plaide pour que les moyens fédéraux servent à pérenniser (et donc sans passer par un appel annuel) certains projets relevant des compétences fédérales, notamment parce que certains d’entre eux peuvent s’assimiler à une forme de délégation de mission de service public ou encore parce qu’ils concernent des initiatives qui </w:t>
      </w:r>
      <w:r w:rsidR="007608E5" w:rsidRPr="009601D7">
        <w:rPr>
          <w:rStyle w:val="Accentuation"/>
        </w:rPr>
        <w:t xml:space="preserve">touchent </w:t>
      </w:r>
      <w:r w:rsidRPr="009601D7">
        <w:rPr>
          <w:rStyle w:val="Accentuation"/>
        </w:rPr>
        <w:t xml:space="preserve"> l’ensemble du pays.</w:t>
      </w:r>
    </w:p>
    <w:p w:rsidR="00051B18" w:rsidRDefault="00051B18">
      <w:pPr>
        <w:rPr>
          <w:rFonts w:asciiTheme="majorHAnsi" w:eastAsiaTheme="majorEastAsia" w:hAnsiTheme="majorHAnsi" w:cstheme="majorBidi"/>
          <w:smallCaps/>
          <w:color w:val="0F243E" w:themeColor="text2" w:themeShade="7F"/>
          <w:spacing w:val="20"/>
          <w:sz w:val="32"/>
          <w:szCs w:val="32"/>
        </w:rPr>
      </w:pPr>
      <w:bookmarkStart w:id="73" w:name="_Toc377028557"/>
      <w:bookmarkStart w:id="74" w:name="_Toc377030234"/>
      <w:r>
        <w:br w:type="page"/>
      </w:r>
    </w:p>
    <w:p w:rsidR="00674C14" w:rsidRPr="00E81D32" w:rsidRDefault="004C7C81" w:rsidP="009601D7">
      <w:pPr>
        <w:pStyle w:val="Titre1"/>
        <w:ind w:left="0"/>
      </w:pPr>
      <w:r w:rsidRPr="00E81D32">
        <w:lastRenderedPageBreak/>
        <w:t>Emploi</w:t>
      </w:r>
      <w:bookmarkEnd w:id="73"/>
      <w:bookmarkEnd w:id="74"/>
      <w:r w:rsidRPr="00E81D32">
        <w:t xml:space="preserve"> </w:t>
      </w:r>
    </w:p>
    <w:p w:rsidR="00E81D32" w:rsidRDefault="00E81D32" w:rsidP="00AA21B5">
      <w:pPr>
        <w:pStyle w:val="Titre2"/>
        <w:spacing w:before="0"/>
        <w:jc w:val="both"/>
        <w:rPr>
          <w:rFonts w:asciiTheme="minorHAnsi" w:hAnsiTheme="minorHAnsi" w:cstheme="minorHAnsi"/>
          <w:lang w:val="fr-FR"/>
        </w:rPr>
      </w:pPr>
      <w:bookmarkStart w:id="75" w:name="_Toc377028558"/>
    </w:p>
    <w:p w:rsidR="00E22B60" w:rsidRPr="00E81D32" w:rsidRDefault="00E22B60" w:rsidP="009601D7">
      <w:pPr>
        <w:pStyle w:val="Titre2"/>
        <w:ind w:left="0"/>
      </w:pPr>
      <w:bookmarkStart w:id="76" w:name="_Toc377030235"/>
      <w:r w:rsidRPr="00E81D32">
        <w:t>Adopter un cadre</w:t>
      </w:r>
      <w:r w:rsidR="00213A1E" w:rsidRPr="00E81D32">
        <w:t xml:space="preserve"> légal pour l’organisation des a</w:t>
      </w:r>
      <w:r w:rsidRPr="00E81D32">
        <w:t>ctions positives en faveur de certains groupes de travailleurs</w:t>
      </w:r>
      <w:bookmarkEnd w:id="75"/>
      <w:bookmarkEnd w:id="76"/>
      <w:r w:rsidRPr="00E81D32">
        <w:t> </w:t>
      </w:r>
    </w:p>
    <w:p w:rsidR="0069660B" w:rsidRPr="00AA21B5" w:rsidRDefault="0069660B" w:rsidP="005D281B">
      <w:pPr>
        <w:spacing w:after="0" w:line="240" w:lineRule="auto"/>
        <w:jc w:val="both"/>
        <w:rPr>
          <w:rFonts w:cstheme="minorHAnsi"/>
          <w:lang w:val="fr-FR"/>
        </w:rPr>
      </w:pPr>
    </w:p>
    <w:p w:rsidR="00E22B60" w:rsidRDefault="00E22B60" w:rsidP="005D281B">
      <w:pPr>
        <w:spacing w:after="0"/>
        <w:jc w:val="both"/>
        <w:rPr>
          <w:lang w:val="fr-FR"/>
        </w:rPr>
      </w:pPr>
      <w:r w:rsidRPr="00AA21B5">
        <w:rPr>
          <w:lang w:val="fr-FR"/>
        </w:rPr>
        <w:t>Pour rappel, le Centre et le SPF Emploi, Travail et Concertation sociale ont présenté le 5 septembre 2013 le premier rapport du Monitoring socio-économique</w:t>
      </w:r>
      <w:r w:rsidRPr="00AA21B5">
        <w:rPr>
          <w:rStyle w:val="Appelnotedebasdep"/>
          <w:rFonts w:cstheme="minorHAnsi"/>
          <w:lang w:val="fr-FR"/>
        </w:rPr>
        <w:footnoteReference w:id="8"/>
      </w:r>
      <w:r w:rsidRPr="00AA21B5">
        <w:rPr>
          <w:lang w:val="fr-FR"/>
        </w:rPr>
        <w:t xml:space="preserve"> qui a confirmé l’hypothèse  selon laquelle la position des travailleurs  sur le marché du travail se réalise, pour partie, selon une distribution basée sur la nationalité ou l’origine nationale des personnes. Le Monitoring socio-économique a ainsi démontré l’existence d’une </w:t>
      </w:r>
      <w:proofErr w:type="spellStart"/>
      <w:r w:rsidRPr="00AA21B5">
        <w:rPr>
          <w:lang w:val="fr-FR"/>
        </w:rPr>
        <w:t>ethnostratification</w:t>
      </w:r>
      <w:proofErr w:type="spellEnd"/>
      <w:r w:rsidRPr="00AA21B5">
        <w:rPr>
          <w:lang w:val="fr-FR"/>
        </w:rPr>
        <w:t xml:space="preserve"> du marché du </w:t>
      </w:r>
      <w:r w:rsidR="00A0556E" w:rsidRPr="00AA21B5">
        <w:rPr>
          <w:lang w:val="fr-FR"/>
        </w:rPr>
        <w:t xml:space="preserve">travail. </w:t>
      </w:r>
      <w:r w:rsidRPr="00AA21B5">
        <w:rPr>
          <w:lang w:val="fr-FR"/>
        </w:rPr>
        <w:t xml:space="preserve">Ce processus de stratification découle à la fois de l’organisation du travail et de la qualité de celui-ci, et des dynamiques discriminatoires en vigueur. </w:t>
      </w:r>
    </w:p>
    <w:p w:rsidR="00E81D32" w:rsidRPr="00AA21B5" w:rsidRDefault="00E81D32" w:rsidP="005D281B">
      <w:pPr>
        <w:spacing w:after="0" w:line="240" w:lineRule="auto"/>
        <w:jc w:val="both"/>
        <w:rPr>
          <w:rFonts w:cstheme="minorHAnsi"/>
          <w:lang w:val="fr-FR"/>
        </w:rPr>
      </w:pPr>
    </w:p>
    <w:p w:rsidR="00E22B60" w:rsidRDefault="00E22B60" w:rsidP="005D281B">
      <w:pPr>
        <w:spacing w:after="0"/>
        <w:jc w:val="both"/>
        <w:rPr>
          <w:lang w:val="fr-FR"/>
        </w:rPr>
      </w:pPr>
      <w:r w:rsidRPr="00AA21B5">
        <w:rPr>
          <w:lang w:val="fr-FR"/>
        </w:rPr>
        <w:t>Au-delà des réponses structurelles qui doivent être apportées au niveau de l’organisation du marché de l’emploi pour répondre au défi des processus d’inégalités, d’</w:t>
      </w:r>
      <w:proofErr w:type="spellStart"/>
      <w:r w:rsidRPr="00AA21B5">
        <w:rPr>
          <w:lang w:val="fr-FR"/>
        </w:rPr>
        <w:t>ethnostratification</w:t>
      </w:r>
      <w:proofErr w:type="spellEnd"/>
      <w:r w:rsidRPr="00AA21B5">
        <w:rPr>
          <w:lang w:val="fr-FR"/>
        </w:rPr>
        <w:t xml:space="preserve"> et de discrimination, le Centre estime qu’il est indispensable de promouvoir l’adoption de mesures spécifiques en vue d’améliorer l’intégration des personnes d’origine étrangères sur le marché du travail. </w:t>
      </w:r>
    </w:p>
    <w:p w:rsidR="009601D7" w:rsidRDefault="009601D7" w:rsidP="00AA21B5">
      <w:pPr>
        <w:spacing w:after="0" w:line="240" w:lineRule="auto"/>
        <w:jc w:val="both"/>
        <w:rPr>
          <w:rFonts w:cstheme="minorHAnsi"/>
          <w:lang w:val="fr-FR"/>
        </w:rPr>
      </w:pPr>
    </w:p>
    <w:p w:rsidR="00E81D32" w:rsidRPr="00AA21B5" w:rsidRDefault="00E81D32" w:rsidP="00AA21B5">
      <w:pPr>
        <w:spacing w:after="0" w:line="240" w:lineRule="auto"/>
        <w:jc w:val="both"/>
        <w:rPr>
          <w:rFonts w:cstheme="minorHAnsi"/>
          <w:lang w:val="fr-FR"/>
        </w:rPr>
      </w:pPr>
    </w:p>
    <w:p w:rsidR="00906200" w:rsidRPr="009601D7" w:rsidRDefault="005F59C6" w:rsidP="00051B18">
      <w:pPr>
        <w:pStyle w:val="Citationintense"/>
        <w:rPr>
          <w:rStyle w:val="Accentuation"/>
        </w:rPr>
      </w:pPr>
      <w:r w:rsidRPr="009601D7">
        <w:rPr>
          <w:rStyle w:val="Accentuation"/>
        </w:rPr>
        <w:t xml:space="preserve">Le </w:t>
      </w:r>
      <w:r w:rsidR="00906200" w:rsidRPr="009601D7">
        <w:rPr>
          <w:rStyle w:val="Accentuation"/>
        </w:rPr>
        <w:t>Centre insiste sur la nécessité d’adopter, tant au niveau fédéral que régional ou communautaire, conformément au prescrit de certaines des législations  visant à lutter contre les discriminations, des textes réglementaires (Arrêté royal et Arrêtés des gouvernements) déterminant les hypothèses et les conditions dans lesquelles des mesures d’action positive peuvent être mises en œuvre en faveur des personnes issues de l’immigration.</w:t>
      </w:r>
    </w:p>
    <w:p w:rsidR="00E81D32" w:rsidRPr="00051B18" w:rsidRDefault="00E81D32" w:rsidP="00AA21B5">
      <w:pPr>
        <w:spacing w:after="0" w:line="240" w:lineRule="auto"/>
        <w:jc w:val="both"/>
        <w:rPr>
          <w:rFonts w:cstheme="minorHAnsi"/>
        </w:rPr>
      </w:pPr>
    </w:p>
    <w:p w:rsidR="00E22B60" w:rsidRDefault="00E22B60" w:rsidP="005623BC">
      <w:pPr>
        <w:jc w:val="both"/>
        <w:rPr>
          <w:lang w:val="fr-FR"/>
        </w:rPr>
      </w:pPr>
      <w:r w:rsidRPr="00AA21B5">
        <w:rPr>
          <w:lang w:val="fr-FR"/>
        </w:rPr>
        <w:t>Par analogie, le Centre insiste sur la nécessité d’envisager la possibilité d’adopter ce type de mesure en faveur de l’ensemble des publics visés par les législations antidiscrimination.</w:t>
      </w:r>
    </w:p>
    <w:p w:rsidR="009601D7" w:rsidRDefault="009601D7" w:rsidP="009601D7">
      <w:pPr>
        <w:pStyle w:val="Titre2"/>
        <w:ind w:left="0"/>
        <w:rPr>
          <w:rFonts w:asciiTheme="minorHAnsi" w:eastAsiaTheme="minorEastAsia" w:hAnsiTheme="minorHAnsi" w:cstheme="minorHAnsi"/>
          <w:smallCaps w:val="0"/>
          <w:color w:val="404040" w:themeColor="text1" w:themeTint="BF"/>
          <w:spacing w:val="0"/>
          <w:sz w:val="20"/>
          <w:szCs w:val="20"/>
          <w:lang w:val="fr-FR"/>
        </w:rPr>
      </w:pPr>
      <w:bookmarkStart w:id="77" w:name="_Toc377028559"/>
      <w:bookmarkStart w:id="78" w:name="_Toc377030236"/>
    </w:p>
    <w:p w:rsidR="00213A1E" w:rsidRPr="00E81D32" w:rsidRDefault="00213A1E" w:rsidP="009601D7">
      <w:pPr>
        <w:pStyle w:val="Titre2"/>
        <w:ind w:left="0"/>
      </w:pPr>
      <w:r w:rsidRPr="00E81D32">
        <w:t>Appeler à des Etats généraux concernant l’emploi pour les plus de 45 ans</w:t>
      </w:r>
      <w:bookmarkEnd w:id="77"/>
      <w:bookmarkEnd w:id="78"/>
    </w:p>
    <w:p w:rsidR="0069660B" w:rsidRPr="00AA21B5" w:rsidRDefault="0069660B" w:rsidP="00AA21B5">
      <w:pPr>
        <w:spacing w:after="0" w:line="240" w:lineRule="auto"/>
        <w:jc w:val="both"/>
        <w:rPr>
          <w:rFonts w:cstheme="minorHAnsi"/>
          <w:lang w:val="fr-FR"/>
        </w:rPr>
      </w:pPr>
    </w:p>
    <w:p w:rsidR="004F592C" w:rsidRDefault="004F592C" w:rsidP="005D281B">
      <w:pPr>
        <w:spacing w:after="0"/>
        <w:jc w:val="both"/>
        <w:rPr>
          <w:lang w:val="fr-FR"/>
        </w:rPr>
      </w:pPr>
      <w:r w:rsidRPr="00AA21B5">
        <w:rPr>
          <w:lang w:val="fr-FR"/>
        </w:rPr>
        <w:t xml:space="preserve">Le Programme national de réforme présenté par la Belgique le 25 avril 2013 dans le cadre de la Stratégie de croissance UE 2020 présente </w:t>
      </w:r>
      <w:r w:rsidR="00A0556E" w:rsidRPr="00AA21B5">
        <w:rPr>
          <w:lang w:val="fr-FR"/>
        </w:rPr>
        <w:t>une</w:t>
      </w:r>
      <w:r w:rsidRPr="00AA21B5">
        <w:rPr>
          <w:lang w:val="fr-FR"/>
        </w:rPr>
        <w:t xml:space="preserve"> série d’objectifs visant à accroitre le taux d’emploi des travailleurs les plus âgés (création de 234.00 emplois pour les 55-64 ans d’ici </w:t>
      </w:r>
      <w:r w:rsidR="00A0556E" w:rsidRPr="00AA21B5">
        <w:rPr>
          <w:lang w:val="fr-FR"/>
        </w:rPr>
        <w:t>2020)</w:t>
      </w:r>
      <w:r w:rsidRPr="00AA21B5">
        <w:rPr>
          <w:lang w:val="fr-FR"/>
        </w:rPr>
        <w:t xml:space="preserve">. </w:t>
      </w:r>
    </w:p>
    <w:p w:rsidR="00E81D32" w:rsidRPr="00AA21B5" w:rsidRDefault="00E81D32" w:rsidP="005D281B">
      <w:pPr>
        <w:spacing w:after="0" w:line="240" w:lineRule="auto"/>
        <w:jc w:val="both"/>
        <w:rPr>
          <w:rFonts w:cstheme="minorHAnsi"/>
          <w:lang w:val="fr-FR"/>
        </w:rPr>
      </w:pPr>
    </w:p>
    <w:p w:rsidR="004F592C" w:rsidRDefault="004F592C" w:rsidP="005D281B">
      <w:pPr>
        <w:spacing w:after="0"/>
        <w:jc w:val="both"/>
        <w:rPr>
          <w:lang w:val="fr-FR"/>
        </w:rPr>
      </w:pPr>
      <w:r w:rsidRPr="00AA21B5">
        <w:rPr>
          <w:lang w:val="fr-FR"/>
        </w:rPr>
        <w:t>Le Baromètre Emploi publié par le Centre en septembre 2012 a démontré le lien évident entre le</w:t>
      </w:r>
      <w:r w:rsidR="000C457C" w:rsidRPr="00AA21B5">
        <w:rPr>
          <w:lang w:val="fr-FR"/>
        </w:rPr>
        <w:t>s</w:t>
      </w:r>
      <w:r w:rsidRPr="00AA21B5">
        <w:rPr>
          <w:lang w:val="fr-FR"/>
        </w:rPr>
        <w:t xml:space="preserve"> difficultés éprouvées par les plus de 45 ans dans toutes les phases de recrutement et les stéréotypes </w:t>
      </w:r>
      <w:r w:rsidR="003E0AEA" w:rsidRPr="00AA21B5">
        <w:rPr>
          <w:lang w:val="fr-FR"/>
        </w:rPr>
        <w:t>liés</w:t>
      </w:r>
      <w:r w:rsidRPr="00AA21B5">
        <w:rPr>
          <w:lang w:val="fr-FR"/>
        </w:rPr>
        <w:t xml:space="preserve"> à l’âge </w:t>
      </w:r>
      <w:r w:rsidRPr="00AA21B5">
        <w:rPr>
          <w:lang w:val="fr-FR"/>
        </w:rPr>
        <w:lastRenderedPageBreak/>
        <w:t xml:space="preserve">véhiculés </w:t>
      </w:r>
      <w:r w:rsidR="000C457C" w:rsidRPr="00AA21B5">
        <w:rPr>
          <w:lang w:val="fr-FR"/>
        </w:rPr>
        <w:t xml:space="preserve">auprès des </w:t>
      </w:r>
      <w:r w:rsidRPr="00AA21B5">
        <w:rPr>
          <w:lang w:val="fr-FR"/>
        </w:rPr>
        <w:t xml:space="preserve">recruteurs. En outre, certaines </w:t>
      </w:r>
      <w:r w:rsidR="001C3EE2" w:rsidRPr="00AA21B5">
        <w:rPr>
          <w:lang w:val="fr-FR"/>
        </w:rPr>
        <w:t xml:space="preserve">mesures </w:t>
      </w:r>
      <w:r w:rsidRPr="00AA21B5">
        <w:rPr>
          <w:lang w:val="fr-FR"/>
        </w:rPr>
        <w:t>de maintien dans l’emploi pour les plus de 45 ans se retournent contre eux quand il s’agit de les recruter (</w:t>
      </w:r>
      <w:r w:rsidR="0041651C">
        <w:rPr>
          <w:lang w:val="fr-FR"/>
        </w:rPr>
        <w:t xml:space="preserve">par ex. le </w:t>
      </w:r>
      <w:r w:rsidRPr="00AA21B5">
        <w:rPr>
          <w:lang w:val="fr-FR"/>
        </w:rPr>
        <w:t xml:space="preserve">temps de travail réduit). Enfin, certains signalements introduits au Centre indiquent que des organismes de </w:t>
      </w:r>
      <w:r w:rsidR="00A0556E" w:rsidRPr="00AA21B5">
        <w:rPr>
          <w:lang w:val="fr-FR"/>
        </w:rPr>
        <w:t>formation professionnelle</w:t>
      </w:r>
      <w:r w:rsidRPr="00AA21B5">
        <w:rPr>
          <w:lang w:val="fr-FR"/>
        </w:rPr>
        <w:t xml:space="preserve"> refusent des demandeurs d’emplois plus âgés, craignant avant-même de les former, de ne pas pouvoir les réinsérer dans le marché de l’emploi.</w:t>
      </w:r>
    </w:p>
    <w:p w:rsidR="00E81D32" w:rsidRPr="00AA21B5" w:rsidRDefault="00E81D32" w:rsidP="00AA21B5">
      <w:pPr>
        <w:spacing w:after="0" w:line="240" w:lineRule="auto"/>
        <w:jc w:val="both"/>
        <w:rPr>
          <w:rFonts w:cstheme="minorHAnsi"/>
          <w:lang w:val="fr-FR"/>
        </w:rPr>
      </w:pPr>
    </w:p>
    <w:p w:rsidR="009601D7" w:rsidRPr="00AA21B5" w:rsidRDefault="004F592C" w:rsidP="005D281B">
      <w:pPr>
        <w:jc w:val="both"/>
        <w:rPr>
          <w:rFonts w:cstheme="minorHAnsi"/>
          <w:lang w:val="fr-FR"/>
        </w:rPr>
      </w:pPr>
      <w:r w:rsidRPr="00AA21B5">
        <w:rPr>
          <w:lang w:val="fr-FR"/>
        </w:rPr>
        <w:t>Il est temps d’offrir l’opportunité à tous les partenaires travaillant dans ce domaine de réfléchir à l’impact de la distinction sur base de l’âge</w:t>
      </w:r>
      <w:r w:rsidR="000C457C" w:rsidRPr="00AA21B5">
        <w:rPr>
          <w:lang w:val="fr-FR"/>
        </w:rPr>
        <w:t xml:space="preserve"> concernant </w:t>
      </w:r>
      <w:r w:rsidRPr="00AA21B5">
        <w:rPr>
          <w:lang w:val="fr-FR"/>
        </w:rPr>
        <w:t xml:space="preserve">l’emploi des plus de 45 ans. </w:t>
      </w:r>
      <w:r w:rsidR="00A0556E" w:rsidRPr="00AA21B5">
        <w:rPr>
          <w:lang w:val="fr-FR"/>
        </w:rPr>
        <w:t>Et ce</w:t>
      </w:r>
      <w:r w:rsidR="000C457C" w:rsidRPr="00AA21B5">
        <w:rPr>
          <w:lang w:val="fr-FR"/>
        </w:rPr>
        <w:t xml:space="preserve"> au niveau </w:t>
      </w:r>
      <w:r w:rsidR="003E0AEA" w:rsidRPr="00AA21B5">
        <w:rPr>
          <w:lang w:val="fr-FR"/>
        </w:rPr>
        <w:t>individuel</w:t>
      </w:r>
      <w:r w:rsidR="00A0556E" w:rsidRPr="00AA21B5">
        <w:rPr>
          <w:lang w:val="fr-FR"/>
        </w:rPr>
        <w:t>, mais aussi à un niveau global puisque la crise économique n’est pas sans conséquences sur les perspectives que ce sont donnés les gouvernements fédéraux et régionaux.</w:t>
      </w:r>
    </w:p>
    <w:p w:rsidR="004F592C" w:rsidRPr="00AA21B5" w:rsidRDefault="004F592C" w:rsidP="00AA21B5">
      <w:pPr>
        <w:spacing w:after="0" w:line="240" w:lineRule="auto"/>
        <w:jc w:val="both"/>
        <w:rPr>
          <w:rFonts w:cstheme="minorHAnsi"/>
          <w:lang w:val="fr-FR"/>
        </w:rPr>
      </w:pPr>
    </w:p>
    <w:p w:rsidR="0044252E" w:rsidRDefault="004F592C" w:rsidP="00051B18">
      <w:pPr>
        <w:pStyle w:val="Citationintense"/>
        <w:rPr>
          <w:rStyle w:val="Accentuation"/>
        </w:rPr>
      </w:pPr>
      <w:r w:rsidRPr="009601D7">
        <w:rPr>
          <w:rStyle w:val="Accentuation"/>
        </w:rPr>
        <w:t>Le Centre plaide donc pour la réalisation d’Etats généraux réunissant employeurs, organismes d’insertion, syndicats et autorités compétentes</w:t>
      </w:r>
      <w:r w:rsidR="000C457C" w:rsidRPr="009601D7">
        <w:rPr>
          <w:rStyle w:val="Accentuation"/>
        </w:rPr>
        <w:t xml:space="preserve"> afin de </w:t>
      </w:r>
      <w:r w:rsidRPr="009601D7">
        <w:rPr>
          <w:rStyle w:val="Accentuation"/>
        </w:rPr>
        <w:t>dresser un tableau des freins produits par les phénomènes discriminatoires liés à l’âge sur l’emploi des plus de 45 ans.</w:t>
      </w:r>
    </w:p>
    <w:p w:rsidR="000A22AE" w:rsidRDefault="000A22AE" w:rsidP="00AA21B5">
      <w:pPr>
        <w:spacing w:after="0" w:line="240" w:lineRule="auto"/>
        <w:jc w:val="both"/>
        <w:rPr>
          <w:rFonts w:cstheme="minorHAnsi"/>
          <w:lang w:val="fr-FR"/>
        </w:rPr>
      </w:pPr>
    </w:p>
    <w:p w:rsidR="00213A1E" w:rsidRPr="00AA21B5" w:rsidRDefault="004F592C" w:rsidP="007B3441">
      <w:pPr>
        <w:jc w:val="both"/>
        <w:rPr>
          <w:lang w:val="fr-FR"/>
        </w:rPr>
      </w:pPr>
      <w:r w:rsidRPr="00AA21B5">
        <w:rPr>
          <w:lang w:val="fr-FR"/>
        </w:rPr>
        <w:t xml:space="preserve">De manière proactive, ces Etats </w:t>
      </w:r>
      <w:r w:rsidR="000C457C" w:rsidRPr="00AA21B5">
        <w:rPr>
          <w:lang w:val="fr-FR"/>
        </w:rPr>
        <w:t>g</w:t>
      </w:r>
      <w:r w:rsidRPr="00AA21B5">
        <w:rPr>
          <w:lang w:val="fr-FR"/>
        </w:rPr>
        <w:t>énéraux seraient l’occasion de collaborer à l’élaboration de pistes ne niant pas le biais discriminatoire dans l’implémentation des objectifs fixés afin d’encourager le taux d’emploi des plus âgés.</w:t>
      </w:r>
    </w:p>
    <w:p w:rsidR="009601D7" w:rsidRDefault="009601D7" w:rsidP="009601D7">
      <w:pPr>
        <w:pStyle w:val="Titre2"/>
        <w:ind w:left="0"/>
        <w:rPr>
          <w:rFonts w:asciiTheme="minorHAnsi" w:eastAsiaTheme="minorEastAsia" w:hAnsiTheme="minorHAnsi" w:cstheme="minorHAnsi"/>
          <w:smallCaps w:val="0"/>
          <w:color w:val="404040" w:themeColor="text1" w:themeTint="BF"/>
          <w:spacing w:val="0"/>
          <w:sz w:val="20"/>
          <w:szCs w:val="20"/>
          <w:lang w:val="fr-FR"/>
        </w:rPr>
      </w:pPr>
      <w:bookmarkStart w:id="79" w:name="_Toc377028560"/>
      <w:bookmarkStart w:id="80" w:name="_Toc377030237"/>
    </w:p>
    <w:p w:rsidR="009601D7" w:rsidRDefault="009601D7" w:rsidP="009601D7">
      <w:pPr>
        <w:pStyle w:val="Titre2"/>
        <w:ind w:left="0"/>
        <w:rPr>
          <w:rFonts w:asciiTheme="minorHAnsi" w:eastAsiaTheme="minorEastAsia" w:hAnsiTheme="minorHAnsi" w:cstheme="minorHAnsi"/>
          <w:smallCaps w:val="0"/>
          <w:color w:val="404040" w:themeColor="text1" w:themeTint="BF"/>
          <w:spacing w:val="0"/>
          <w:sz w:val="20"/>
          <w:szCs w:val="20"/>
          <w:lang w:val="fr-FR"/>
        </w:rPr>
      </w:pPr>
    </w:p>
    <w:p w:rsidR="00BF4CD7" w:rsidRPr="00E81D32" w:rsidRDefault="00BF4CD7" w:rsidP="009601D7">
      <w:pPr>
        <w:pStyle w:val="Titre2"/>
        <w:ind w:left="0"/>
      </w:pPr>
      <w:r w:rsidRPr="00E81D32">
        <w:t>Ratification de la Convention Internationale des travailleurs migrants et des membres de leur famille.</w:t>
      </w:r>
      <w:bookmarkEnd w:id="79"/>
      <w:bookmarkEnd w:id="80"/>
    </w:p>
    <w:p w:rsidR="00BF4CD7" w:rsidRDefault="00BF4CD7" w:rsidP="007B3441">
      <w:pPr>
        <w:jc w:val="both"/>
        <w:rPr>
          <w:lang w:val="fr-FR"/>
        </w:rPr>
      </w:pPr>
      <w:r w:rsidRPr="00AA21B5">
        <w:rPr>
          <w:lang w:val="fr-FR"/>
        </w:rPr>
        <w:br/>
        <w:t xml:space="preserve">En décembre 2015, la Convention des Nations Unies sur la protection des droits des travailleurs migrants et des membres de leur famille va fêter son vingtième anniversaire. Cette convention de 1990 devait devenir un instrument international directeur pour la protection des droits des travailleurs migrants et des </w:t>
      </w:r>
      <w:r w:rsidR="0041651C">
        <w:rPr>
          <w:lang w:val="fr-FR"/>
        </w:rPr>
        <w:t>membres de leur famille. Aucun É</w:t>
      </w:r>
      <w:r w:rsidRPr="00AA21B5">
        <w:rPr>
          <w:lang w:val="fr-FR"/>
        </w:rPr>
        <w:t xml:space="preserve">tat européen n’a à ce jour ratifié la Convention. </w:t>
      </w:r>
    </w:p>
    <w:p w:rsidR="00E81D32" w:rsidRPr="00AA21B5" w:rsidRDefault="00E81D32" w:rsidP="00AA21B5">
      <w:pPr>
        <w:spacing w:after="0" w:line="240" w:lineRule="auto"/>
        <w:rPr>
          <w:rFonts w:cstheme="minorHAnsi"/>
          <w:sz w:val="24"/>
          <w:szCs w:val="24"/>
          <w:lang w:val="fr-FR"/>
        </w:rPr>
      </w:pPr>
    </w:p>
    <w:p w:rsidR="00BF4CD7" w:rsidRPr="009601D7" w:rsidRDefault="00BF4CD7" w:rsidP="00051B18">
      <w:pPr>
        <w:pStyle w:val="Citationintense"/>
        <w:rPr>
          <w:rStyle w:val="Accentuation"/>
        </w:rPr>
      </w:pPr>
      <w:r w:rsidRPr="009601D7">
        <w:rPr>
          <w:rStyle w:val="Accentuation"/>
        </w:rPr>
        <w:t>Le Centre invite les autorités belges à prendre l’initiative et à entamer le processus de ratification de la Convention des Nations Unies sur la protection des droits des travailleurs migrants et des membres de leur famille.</w:t>
      </w:r>
    </w:p>
    <w:p w:rsidR="005D281B" w:rsidRDefault="005D281B">
      <w:pPr>
        <w:rPr>
          <w:rFonts w:asciiTheme="majorHAnsi" w:eastAsiaTheme="majorEastAsia" w:hAnsiTheme="majorHAnsi" w:cstheme="majorBidi"/>
          <w:smallCaps/>
          <w:color w:val="0F243E" w:themeColor="text2" w:themeShade="7F"/>
          <w:spacing w:val="20"/>
          <w:sz w:val="32"/>
          <w:szCs w:val="32"/>
        </w:rPr>
      </w:pPr>
      <w:bookmarkStart w:id="81" w:name="_Toc377028561"/>
      <w:bookmarkStart w:id="82" w:name="_Toc377030238"/>
      <w:r>
        <w:br w:type="page"/>
      </w:r>
    </w:p>
    <w:p w:rsidR="00674C14" w:rsidRPr="00E81D32" w:rsidRDefault="00674C14" w:rsidP="00C062F4">
      <w:pPr>
        <w:pStyle w:val="Titre1"/>
        <w:ind w:left="0"/>
      </w:pPr>
      <w:r w:rsidRPr="00E81D32">
        <w:lastRenderedPageBreak/>
        <w:t>Communautés</w:t>
      </w:r>
      <w:bookmarkEnd w:id="81"/>
      <w:bookmarkEnd w:id="82"/>
    </w:p>
    <w:p w:rsidR="00D36B7D" w:rsidRPr="00AA21B5" w:rsidRDefault="00D36B7D" w:rsidP="00AA21B5">
      <w:pPr>
        <w:spacing w:after="0" w:line="240" w:lineRule="auto"/>
        <w:jc w:val="both"/>
        <w:rPr>
          <w:rFonts w:cstheme="minorHAnsi"/>
          <w:lang w:val="fr-FR"/>
        </w:rPr>
      </w:pPr>
    </w:p>
    <w:p w:rsidR="00674C14" w:rsidRPr="00E81D32" w:rsidRDefault="00674C14" w:rsidP="00C062F4">
      <w:pPr>
        <w:pStyle w:val="Titre2"/>
        <w:ind w:left="0"/>
      </w:pPr>
      <w:bookmarkStart w:id="83" w:name="_Toc377028562"/>
      <w:bookmarkStart w:id="84" w:name="_Toc377030239"/>
      <w:r w:rsidRPr="00E81D32">
        <w:t>Aide</w:t>
      </w:r>
      <w:r w:rsidR="00E32AF9" w:rsidRPr="00E81D32">
        <w:t xml:space="preserve"> aux personnes</w:t>
      </w:r>
      <w:r w:rsidRPr="00E81D32">
        <w:t xml:space="preserve"> et soin</w:t>
      </w:r>
      <w:r w:rsidR="00A70845">
        <w:t>s</w:t>
      </w:r>
      <w:r w:rsidR="00E32AF9" w:rsidRPr="00E81D32">
        <w:t xml:space="preserve"> de santé</w:t>
      </w:r>
      <w:bookmarkEnd w:id="83"/>
      <w:bookmarkEnd w:id="84"/>
    </w:p>
    <w:p w:rsidR="0069660B" w:rsidRPr="00AA21B5" w:rsidRDefault="0069660B" w:rsidP="00AA21B5">
      <w:pPr>
        <w:spacing w:after="0" w:line="240" w:lineRule="auto"/>
        <w:jc w:val="both"/>
        <w:rPr>
          <w:rFonts w:cstheme="minorHAnsi"/>
          <w:lang w:val="fr-FR"/>
        </w:rPr>
      </w:pPr>
    </w:p>
    <w:p w:rsidR="00B856E2" w:rsidRDefault="00B856E2" w:rsidP="001305BA">
      <w:pPr>
        <w:jc w:val="both"/>
        <w:rPr>
          <w:lang w:val="fr-FR"/>
        </w:rPr>
      </w:pPr>
      <w:r w:rsidRPr="00AA21B5">
        <w:rPr>
          <w:lang w:val="fr-FR"/>
        </w:rPr>
        <w:t xml:space="preserve">Le secteur </w:t>
      </w:r>
      <w:r w:rsidR="00FC5FCF" w:rsidRPr="00AA21B5">
        <w:rPr>
          <w:b/>
          <w:lang w:val="fr-FR"/>
        </w:rPr>
        <w:t>de l’aide aux personnes et des soins de santé</w:t>
      </w:r>
      <w:r w:rsidR="00FC5FCF" w:rsidRPr="00AA21B5">
        <w:rPr>
          <w:lang w:val="fr-FR"/>
        </w:rPr>
        <w:t xml:space="preserve"> </w:t>
      </w:r>
      <w:r w:rsidRPr="00AA21B5">
        <w:rPr>
          <w:lang w:val="fr-FR"/>
        </w:rPr>
        <w:t xml:space="preserve"> est confronté à une double mutation, d’une part la visibilité du vieillissement de la population d’origine étrangère et le décalage avec une offre normée, d’autre part l’</w:t>
      </w:r>
      <w:proofErr w:type="spellStart"/>
      <w:r w:rsidRPr="00AA21B5">
        <w:rPr>
          <w:lang w:val="fr-FR"/>
        </w:rPr>
        <w:t>ethnicisation</w:t>
      </w:r>
      <w:proofErr w:type="spellEnd"/>
      <w:r w:rsidRPr="00AA21B5">
        <w:rPr>
          <w:lang w:val="fr-FR"/>
        </w:rPr>
        <w:t xml:space="preserve"> de certaines fonctions situées au plus bas de l’échelle sociale (aide familiale, aide-ménagère). Deux vulnérabilités doivent être prises en charge de manière cohérente pour éviter d’être en face d’un secteur qui risque de continuer à fonctionner en laissant en marge une partie de la population (travailleurs et bénéficiaires).</w:t>
      </w:r>
    </w:p>
    <w:p w:rsidR="00E81D32" w:rsidRPr="00AA21B5" w:rsidRDefault="00E81D32" w:rsidP="00AA21B5">
      <w:pPr>
        <w:spacing w:after="0" w:line="240" w:lineRule="auto"/>
        <w:jc w:val="both"/>
        <w:rPr>
          <w:rFonts w:cstheme="minorHAnsi"/>
          <w:lang w:val="fr-FR"/>
        </w:rPr>
      </w:pPr>
    </w:p>
    <w:p w:rsidR="00B856E2" w:rsidRDefault="0041651C" w:rsidP="00E81D32">
      <w:pPr>
        <w:spacing w:after="0" w:line="240" w:lineRule="auto"/>
        <w:jc w:val="both"/>
        <w:rPr>
          <w:rFonts w:cstheme="minorHAnsi"/>
          <w:b/>
          <w:i/>
          <w:lang w:val="fr-FR"/>
        </w:rPr>
      </w:pPr>
      <w:r>
        <w:rPr>
          <w:rFonts w:cstheme="minorHAnsi"/>
          <w:b/>
          <w:lang w:val="fr-FR"/>
        </w:rPr>
        <w:t>Formations</w:t>
      </w:r>
    </w:p>
    <w:p w:rsidR="00E81D32" w:rsidRPr="00AA21B5" w:rsidRDefault="00E81D32" w:rsidP="00E81D32">
      <w:pPr>
        <w:spacing w:after="0" w:line="240" w:lineRule="auto"/>
        <w:jc w:val="both"/>
        <w:rPr>
          <w:rFonts w:cstheme="minorHAnsi"/>
          <w:b/>
          <w:i/>
          <w:lang w:val="fr-FR"/>
        </w:rPr>
      </w:pPr>
    </w:p>
    <w:p w:rsidR="00E81D32" w:rsidRPr="00E81D32" w:rsidRDefault="00E81D32" w:rsidP="00E81D32">
      <w:pPr>
        <w:pStyle w:val="Paragraphedeliste"/>
        <w:spacing w:after="0" w:line="240" w:lineRule="auto"/>
        <w:jc w:val="both"/>
        <w:rPr>
          <w:rFonts w:cstheme="minorHAnsi"/>
          <w:b/>
          <w:lang w:val="fr-FR"/>
        </w:rPr>
      </w:pPr>
    </w:p>
    <w:p w:rsidR="00B856E2" w:rsidRPr="00F37A89" w:rsidRDefault="00B856E2" w:rsidP="00051B18">
      <w:pPr>
        <w:pStyle w:val="Citationintense"/>
        <w:rPr>
          <w:rStyle w:val="Accentuation"/>
        </w:rPr>
      </w:pPr>
      <w:r w:rsidRPr="00F37A89">
        <w:rPr>
          <w:rStyle w:val="Accentuation"/>
        </w:rPr>
        <w:t>S’agissant de la formation des professionnels</w:t>
      </w:r>
      <w:r w:rsidR="00FC5FCF" w:rsidRPr="00F37A89">
        <w:rPr>
          <w:rStyle w:val="Accentuation"/>
        </w:rPr>
        <w:t xml:space="preserve"> du secteur de l’aide aux personnes et des soins de santé</w:t>
      </w:r>
      <w:r w:rsidRPr="00F37A89">
        <w:rPr>
          <w:rStyle w:val="Accentuation"/>
        </w:rPr>
        <w:t>, le Centre plaide pour qu’on y intègre les compétences interculturelles et transculturelles.</w:t>
      </w:r>
    </w:p>
    <w:p w:rsidR="00E81D32" w:rsidRDefault="00E81D32" w:rsidP="00AA21B5">
      <w:pPr>
        <w:spacing w:after="0" w:line="240" w:lineRule="auto"/>
        <w:jc w:val="both"/>
        <w:rPr>
          <w:rFonts w:cstheme="minorHAnsi"/>
          <w:lang w:val="fr-FR"/>
        </w:rPr>
      </w:pPr>
    </w:p>
    <w:p w:rsidR="00B856E2" w:rsidRPr="00AA21B5" w:rsidRDefault="00B856E2" w:rsidP="007B3441">
      <w:pPr>
        <w:jc w:val="both"/>
        <w:rPr>
          <w:lang w:val="fr-FR"/>
        </w:rPr>
      </w:pPr>
      <w:r w:rsidRPr="00AA21B5">
        <w:rPr>
          <w:lang w:val="fr-FR"/>
        </w:rPr>
        <w:t xml:space="preserve">Le personnel soignant et les travailleurs sociaux rencontrés soulèvent régulièrement l’intérêt qu’ils auraient à être davantage formés et informés des systèmes de référence culturelle et des histoires migratoires de chacun. Certains regrettent de façon plus générale que les études intègrent si peu la connaissance des personnes, leur mode de vie, leurs représentations. La méconnaissance des usagers, l’inadaptation de certains services peuvent créer des comportements discriminants et une incompréhension totale dans la prise en charge. </w:t>
      </w:r>
    </w:p>
    <w:p w:rsidR="00E81D32" w:rsidRPr="00E81D32" w:rsidRDefault="00E81D32" w:rsidP="00E81D32">
      <w:pPr>
        <w:pStyle w:val="Paragraphedeliste"/>
        <w:spacing w:after="0" w:line="240" w:lineRule="auto"/>
        <w:jc w:val="both"/>
        <w:rPr>
          <w:rFonts w:cstheme="minorHAnsi"/>
          <w:lang w:val="fr-FR"/>
        </w:rPr>
      </w:pPr>
    </w:p>
    <w:p w:rsidR="00B856E2" w:rsidRPr="0041651C" w:rsidRDefault="00B856E2" w:rsidP="0041651C">
      <w:pPr>
        <w:spacing w:after="0" w:line="240" w:lineRule="auto"/>
        <w:jc w:val="both"/>
        <w:rPr>
          <w:rFonts w:cstheme="minorHAnsi"/>
          <w:b/>
          <w:lang w:val="fr-FR"/>
        </w:rPr>
      </w:pPr>
      <w:r w:rsidRPr="0041651C">
        <w:rPr>
          <w:rFonts w:cstheme="minorHAnsi"/>
          <w:b/>
          <w:lang w:val="fr-FR"/>
        </w:rPr>
        <w:t>Règlementations</w:t>
      </w:r>
    </w:p>
    <w:p w:rsidR="00E81D32" w:rsidRPr="00AA21B5" w:rsidRDefault="00E81D32" w:rsidP="00DA796C">
      <w:pPr>
        <w:rPr>
          <w:lang w:val="fr-FR"/>
        </w:rPr>
      </w:pPr>
    </w:p>
    <w:p w:rsidR="00B856E2" w:rsidRDefault="005F59C6" w:rsidP="00051B18">
      <w:pPr>
        <w:pStyle w:val="Citationintense"/>
        <w:rPr>
          <w:rFonts w:cstheme="minorHAnsi"/>
          <w:lang w:val="fr-FR"/>
        </w:rPr>
      </w:pPr>
      <w:r w:rsidRPr="00F37A89">
        <w:rPr>
          <w:rStyle w:val="Accentuation"/>
        </w:rPr>
        <w:t>Le Centre demande que l</w:t>
      </w:r>
      <w:r w:rsidR="00B856E2" w:rsidRPr="00F37A89">
        <w:rPr>
          <w:rStyle w:val="Accentuation"/>
        </w:rPr>
        <w:t>es autorités stimule</w:t>
      </w:r>
      <w:r w:rsidRPr="00F37A89">
        <w:rPr>
          <w:rStyle w:val="Accentuation"/>
        </w:rPr>
        <w:t>nt</w:t>
      </w:r>
      <w:r w:rsidR="00B856E2" w:rsidRPr="00F37A89">
        <w:rPr>
          <w:rStyle w:val="Accentuation"/>
        </w:rPr>
        <w:t xml:space="preserve"> l’adoption de règlements ou de chartes qui concilieraient les droits et devoirs des travailleurs et des bénéficiaires afin de lutter contre les propos racistes et les comportements discriminatoires</w:t>
      </w:r>
      <w:r w:rsidR="00B856E2" w:rsidRPr="00AA21B5">
        <w:rPr>
          <w:rFonts w:cstheme="minorHAnsi"/>
          <w:lang w:val="fr-FR"/>
        </w:rPr>
        <w:t xml:space="preserve">. </w:t>
      </w:r>
    </w:p>
    <w:p w:rsidR="00E81D32" w:rsidRPr="00E81D32" w:rsidRDefault="00E81D32" w:rsidP="00E81D32">
      <w:pPr>
        <w:pStyle w:val="Paragraphedeliste"/>
        <w:spacing w:after="0" w:line="240" w:lineRule="auto"/>
        <w:ind w:left="1068"/>
        <w:contextualSpacing w:val="0"/>
        <w:jc w:val="both"/>
        <w:rPr>
          <w:rFonts w:cstheme="minorHAnsi"/>
          <w:lang w:val="fr-FR"/>
        </w:rPr>
      </w:pPr>
    </w:p>
    <w:p w:rsidR="00A70845" w:rsidRDefault="00A70845">
      <w:pPr>
        <w:rPr>
          <w:rFonts w:cstheme="minorHAnsi"/>
          <w:b/>
          <w:lang w:val="fr-FR"/>
        </w:rPr>
      </w:pPr>
      <w:r>
        <w:rPr>
          <w:rFonts w:cstheme="minorHAnsi"/>
          <w:b/>
          <w:lang w:val="fr-FR"/>
        </w:rPr>
        <w:br w:type="page"/>
      </w:r>
    </w:p>
    <w:p w:rsidR="00B856E2" w:rsidRPr="0041651C" w:rsidRDefault="00E81D32" w:rsidP="0041651C">
      <w:pPr>
        <w:spacing w:after="0" w:line="240" w:lineRule="auto"/>
        <w:ind w:left="2410"/>
        <w:jc w:val="both"/>
        <w:rPr>
          <w:rFonts w:cstheme="minorHAnsi"/>
          <w:b/>
          <w:lang w:val="fr-FR"/>
        </w:rPr>
      </w:pPr>
      <w:r w:rsidRPr="0041651C">
        <w:rPr>
          <w:rFonts w:cstheme="minorHAnsi"/>
          <w:b/>
          <w:lang w:val="fr-FR"/>
        </w:rPr>
        <w:lastRenderedPageBreak/>
        <w:t>Espaces de parole</w:t>
      </w:r>
    </w:p>
    <w:p w:rsidR="00E81D32" w:rsidRPr="00AA21B5" w:rsidRDefault="00E81D32" w:rsidP="00DA796C">
      <w:pPr>
        <w:rPr>
          <w:lang w:val="fr-FR"/>
        </w:rPr>
      </w:pPr>
    </w:p>
    <w:p w:rsidR="00E81D32" w:rsidRDefault="00B856E2" w:rsidP="00051B18">
      <w:pPr>
        <w:pStyle w:val="Citationintense"/>
        <w:rPr>
          <w:rFonts w:cstheme="minorHAnsi"/>
          <w:lang w:val="fr-FR"/>
        </w:rPr>
      </w:pPr>
      <w:r w:rsidRPr="00F37A89">
        <w:rPr>
          <w:rStyle w:val="Accentuation"/>
        </w:rPr>
        <w:t>Le Centre recommande d’ouvrir un espace de discussion au sein des structure</w:t>
      </w:r>
      <w:r w:rsidR="00FC5FCF" w:rsidRPr="00F37A89">
        <w:rPr>
          <w:rStyle w:val="Accentuation"/>
        </w:rPr>
        <w:t>s</w:t>
      </w:r>
      <w:r w:rsidRPr="00F37A89">
        <w:rPr>
          <w:rStyle w:val="Accentuation"/>
        </w:rPr>
        <w:t xml:space="preserve"> d’aide et de soins laissant une place à l’expression et aux traitements des propos et des comportements racistes et/ou discriminatoires que les travailleurs/</w:t>
      </w:r>
      <w:proofErr w:type="spellStart"/>
      <w:r w:rsidRPr="00F37A89">
        <w:rPr>
          <w:rStyle w:val="Accentuation"/>
        </w:rPr>
        <w:t>euses</w:t>
      </w:r>
      <w:proofErr w:type="spellEnd"/>
      <w:r w:rsidRPr="00F37A89">
        <w:rPr>
          <w:rStyle w:val="Accentuation"/>
        </w:rPr>
        <w:t xml:space="preserve"> subissent dans l’exercice de leur fonction.</w:t>
      </w:r>
    </w:p>
    <w:p w:rsidR="000A22AE" w:rsidRDefault="000A22AE" w:rsidP="00AA21B5">
      <w:pPr>
        <w:spacing w:after="0" w:line="240" w:lineRule="auto"/>
        <w:jc w:val="both"/>
        <w:rPr>
          <w:rFonts w:cstheme="minorHAnsi"/>
          <w:lang w:val="fr-FR"/>
        </w:rPr>
      </w:pPr>
    </w:p>
    <w:p w:rsidR="00B73CA1" w:rsidRPr="0041651C" w:rsidRDefault="00B73CA1" w:rsidP="0041651C">
      <w:pPr>
        <w:ind w:left="2410"/>
        <w:jc w:val="both"/>
        <w:rPr>
          <w:b/>
          <w:lang w:val="fr-FR"/>
        </w:rPr>
      </w:pPr>
      <w:r w:rsidRPr="0041651C">
        <w:rPr>
          <w:b/>
          <w:lang w:val="fr-FR"/>
        </w:rPr>
        <w:t>Suivi psychologique</w:t>
      </w:r>
    </w:p>
    <w:p w:rsidR="00B856E2" w:rsidRPr="00AA21B5" w:rsidRDefault="00B856E2" w:rsidP="00086F39">
      <w:pPr>
        <w:ind w:left="2410"/>
        <w:jc w:val="both"/>
        <w:rPr>
          <w:lang w:val="fr-FR"/>
        </w:rPr>
      </w:pPr>
      <w:r w:rsidRPr="00AA21B5">
        <w:rPr>
          <w:lang w:val="fr-FR"/>
        </w:rPr>
        <w:t xml:space="preserve">Un suivi psychologique </w:t>
      </w:r>
      <w:r w:rsidR="00B73CA1" w:rsidRPr="00B73CA1">
        <w:rPr>
          <w:lang w:val="fr-FR"/>
        </w:rPr>
        <w:t>p</w:t>
      </w:r>
      <w:r w:rsidR="00B73CA1">
        <w:rPr>
          <w:lang w:val="fr-FR"/>
        </w:rPr>
        <w:t xml:space="preserve">eut être indiqué, </w:t>
      </w:r>
      <w:r w:rsidRPr="00AA21B5">
        <w:rPr>
          <w:lang w:val="fr-FR"/>
        </w:rPr>
        <w:t>par exemple après une affaire d’harcèlement, mais pas seulement. Une supervision avec un professionnel externe à la structure peut également s’avérer utile.</w:t>
      </w:r>
    </w:p>
    <w:p w:rsidR="0069660B" w:rsidRPr="00AA21B5" w:rsidRDefault="0069660B" w:rsidP="00AA21B5">
      <w:pPr>
        <w:spacing w:after="0" w:line="240" w:lineRule="auto"/>
        <w:jc w:val="both"/>
        <w:rPr>
          <w:rFonts w:cstheme="minorHAnsi"/>
          <w:lang w:val="fr-FR"/>
        </w:rPr>
      </w:pPr>
    </w:p>
    <w:p w:rsidR="00B856E2" w:rsidRPr="00CC3F34" w:rsidRDefault="00B856E2" w:rsidP="00A70845">
      <w:pPr>
        <w:spacing w:after="0" w:line="240" w:lineRule="auto"/>
        <w:ind w:firstLine="250"/>
        <w:jc w:val="both"/>
        <w:rPr>
          <w:rFonts w:cstheme="minorHAnsi"/>
          <w:b/>
          <w:lang w:val="fr-FR"/>
        </w:rPr>
      </w:pPr>
      <w:r w:rsidRPr="00CC3F34">
        <w:rPr>
          <w:rFonts w:cstheme="minorHAnsi"/>
          <w:b/>
          <w:lang w:val="fr-FR"/>
        </w:rPr>
        <w:t xml:space="preserve">Valorisation et ouverture </w:t>
      </w:r>
    </w:p>
    <w:p w:rsidR="00E81D32" w:rsidRPr="00E81D32" w:rsidRDefault="00E81D32" w:rsidP="00E81D32">
      <w:pPr>
        <w:pStyle w:val="Paragraphedeliste"/>
        <w:spacing w:after="0" w:line="240" w:lineRule="auto"/>
        <w:ind w:left="1068"/>
        <w:jc w:val="both"/>
        <w:rPr>
          <w:rFonts w:cstheme="minorHAnsi"/>
          <w:b/>
          <w:lang w:val="fr-FR"/>
        </w:rPr>
      </w:pPr>
    </w:p>
    <w:p w:rsidR="00F37A89" w:rsidRDefault="00B856E2" w:rsidP="005D281B">
      <w:pPr>
        <w:ind w:left="2410"/>
        <w:jc w:val="both"/>
        <w:rPr>
          <w:rFonts w:cstheme="minorHAnsi"/>
          <w:lang w:val="fr-FR"/>
        </w:rPr>
      </w:pPr>
      <w:r w:rsidRPr="00AA21B5">
        <w:rPr>
          <w:lang w:val="fr-FR"/>
        </w:rPr>
        <w:t>Deux dimensions sont à prendre en considération pour relancer l’hétérogénéité dans ce secteur et éviter le renforcement de l’</w:t>
      </w:r>
      <w:proofErr w:type="spellStart"/>
      <w:r w:rsidRPr="00AA21B5">
        <w:rPr>
          <w:lang w:val="fr-FR"/>
        </w:rPr>
        <w:t>ethnicisation</w:t>
      </w:r>
      <w:proofErr w:type="spellEnd"/>
      <w:r w:rsidRPr="00AA21B5">
        <w:rPr>
          <w:lang w:val="fr-FR"/>
        </w:rPr>
        <w:t xml:space="preserve"> de certaines fonctions. Une première réflexion porte s</w:t>
      </w:r>
      <w:r w:rsidR="00F56FD7" w:rsidRPr="00AA21B5">
        <w:rPr>
          <w:lang w:val="fr-FR"/>
        </w:rPr>
        <w:t>ur la dimension du recrutement.</w:t>
      </w:r>
    </w:p>
    <w:p w:rsidR="00E81D32" w:rsidRPr="00AA21B5" w:rsidRDefault="00E81D32" w:rsidP="00AA21B5">
      <w:pPr>
        <w:spacing w:after="0" w:line="240" w:lineRule="auto"/>
        <w:jc w:val="both"/>
        <w:rPr>
          <w:rFonts w:cstheme="minorHAnsi"/>
          <w:lang w:val="fr-FR"/>
        </w:rPr>
      </w:pPr>
    </w:p>
    <w:p w:rsidR="00F56FD7" w:rsidRDefault="005F59C6" w:rsidP="00051B18">
      <w:pPr>
        <w:pStyle w:val="Citationintense"/>
        <w:rPr>
          <w:rStyle w:val="Accentuation"/>
        </w:rPr>
      </w:pPr>
      <w:r w:rsidRPr="00F37A89">
        <w:rPr>
          <w:rStyle w:val="Accentuation"/>
        </w:rPr>
        <w:t>Le Centre propose  que</w:t>
      </w:r>
      <w:r w:rsidR="00295F3F" w:rsidRPr="00F37A89">
        <w:rPr>
          <w:rStyle w:val="Accentuation"/>
        </w:rPr>
        <w:t xml:space="preserve"> la législation en matière de  reconnaissance des diplômes </w:t>
      </w:r>
      <w:r w:rsidRPr="00F37A89">
        <w:rPr>
          <w:rStyle w:val="Accentuation"/>
        </w:rPr>
        <w:t xml:space="preserve">soit assouplie </w:t>
      </w:r>
      <w:r w:rsidR="00295F3F" w:rsidRPr="00F37A89">
        <w:rPr>
          <w:rStyle w:val="Accentuation"/>
        </w:rPr>
        <w:t>afin de permettre à certaines travailleuses de postuler à d’autres fonctions et dans d’autres secteurs qui répondent mieux à leurs compétences. Un accompagnement avec des formations spécifiques, complémentaires peut également être envisagé pour valoriser les métiers du secteur.</w:t>
      </w:r>
    </w:p>
    <w:p w:rsidR="00F37A89" w:rsidRPr="006B5310" w:rsidRDefault="00F37A89" w:rsidP="006B5310">
      <w:pPr>
        <w:pStyle w:val="Sansinterligne"/>
      </w:pPr>
    </w:p>
    <w:p w:rsidR="00F37A89" w:rsidRDefault="00B856E2" w:rsidP="005D281B">
      <w:pPr>
        <w:jc w:val="both"/>
        <w:rPr>
          <w:rFonts w:cstheme="minorHAnsi"/>
          <w:lang w:val="fr-FR"/>
        </w:rPr>
      </w:pPr>
      <w:r w:rsidRPr="00AA21B5">
        <w:rPr>
          <w:lang w:val="fr-FR"/>
        </w:rPr>
        <w:t>Une seconde réflexion porte sur le manque de reconnaissance du secteur d’</w:t>
      </w:r>
      <w:r w:rsidR="00F56FD7" w:rsidRPr="00AA21B5">
        <w:rPr>
          <w:lang w:val="fr-FR"/>
        </w:rPr>
        <w:t>aide et de soins aux personnes.</w:t>
      </w:r>
    </w:p>
    <w:p w:rsidR="00E81D32" w:rsidRPr="00AA21B5" w:rsidRDefault="00E81D32" w:rsidP="00AA21B5">
      <w:pPr>
        <w:spacing w:after="0" w:line="240" w:lineRule="auto"/>
        <w:jc w:val="both"/>
        <w:rPr>
          <w:rFonts w:cstheme="minorHAnsi"/>
          <w:lang w:val="fr-FR"/>
        </w:rPr>
      </w:pPr>
    </w:p>
    <w:p w:rsidR="00F56FD7" w:rsidRPr="00F37A89" w:rsidRDefault="005F59C6" w:rsidP="00051B18">
      <w:pPr>
        <w:pStyle w:val="Citationintense"/>
        <w:rPr>
          <w:rStyle w:val="Accentuation"/>
        </w:rPr>
      </w:pPr>
      <w:r w:rsidRPr="00F37A89">
        <w:rPr>
          <w:rStyle w:val="Accentuation"/>
        </w:rPr>
        <w:t>Le Centre</w:t>
      </w:r>
      <w:r w:rsidR="00FA5AC7" w:rsidRPr="00F37A89">
        <w:rPr>
          <w:rStyle w:val="Accentuation"/>
        </w:rPr>
        <w:t xml:space="preserve"> </w:t>
      </w:r>
      <w:r w:rsidR="00721C8E" w:rsidRPr="00F37A89">
        <w:rPr>
          <w:rStyle w:val="Accentuation"/>
        </w:rPr>
        <w:t xml:space="preserve">veut </w:t>
      </w:r>
      <w:r w:rsidR="00B73CA1">
        <w:rPr>
          <w:rStyle w:val="Accentuation"/>
        </w:rPr>
        <w:t>in</w:t>
      </w:r>
      <w:r w:rsidR="00721C8E" w:rsidRPr="00F37A89">
        <w:rPr>
          <w:rStyle w:val="Accentuation"/>
        </w:rPr>
        <w:t>citer</w:t>
      </w:r>
      <w:r w:rsidR="00295F3F" w:rsidRPr="00F37A89">
        <w:rPr>
          <w:rStyle w:val="Accentuation"/>
        </w:rPr>
        <w:t xml:space="preserve"> les structures à la valorisation des expériences professionnelles et des compétences acquises par le personnel (aide-soignante, aide familiale)</w:t>
      </w:r>
      <w:r w:rsidR="00F56FD7" w:rsidRPr="00F37A89">
        <w:rPr>
          <w:rStyle w:val="Accentuation"/>
        </w:rPr>
        <w:t>.</w:t>
      </w:r>
    </w:p>
    <w:p w:rsidR="00E81D32" w:rsidRDefault="00E81D32" w:rsidP="00AA21B5">
      <w:pPr>
        <w:spacing w:after="0" w:line="240" w:lineRule="auto"/>
        <w:jc w:val="both"/>
        <w:rPr>
          <w:rFonts w:cstheme="minorHAnsi"/>
          <w:b/>
          <w:lang w:val="fr-FR"/>
        </w:rPr>
      </w:pPr>
    </w:p>
    <w:p w:rsidR="00B856E2" w:rsidRDefault="00B856E2" w:rsidP="00086F39">
      <w:pPr>
        <w:jc w:val="both"/>
        <w:rPr>
          <w:lang w:val="fr-FR"/>
        </w:rPr>
      </w:pPr>
      <w:r w:rsidRPr="00AA21B5">
        <w:rPr>
          <w:lang w:val="fr-FR"/>
        </w:rPr>
        <w:t xml:space="preserve">Cependant, ces deux axes d’une même réflexion n’ont aucune portée si elles ne sont pas actionnées conjointement. En effet, une valorisation des fonctions uniquement dans le secteur de l’aide, mettrait à l’écart les personnes sans qualifications, par contre une valorisation des diplômes étrangers, provoquerait un manque cruel de personnel dans ce type de métier. </w:t>
      </w:r>
    </w:p>
    <w:p w:rsidR="00F37A89" w:rsidRDefault="00F37A89" w:rsidP="00AA21B5">
      <w:pPr>
        <w:spacing w:after="0" w:line="240" w:lineRule="auto"/>
        <w:jc w:val="both"/>
        <w:rPr>
          <w:rFonts w:cstheme="minorHAnsi"/>
          <w:lang w:val="fr-FR"/>
        </w:rPr>
      </w:pPr>
    </w:p>
    <w:p w:rsidR="00E81D32" w:rsidRPr="00AA21B5" w:rsidRDefault="00E81D32" w:rsidP="00AA21B5">
      <w:pPr>
        <w:spacing w:after="0" w:line="240" w:lineRule="auto"/>
        <w:jc w:val="both"/>
        <w:rPr>
          <w:rFonts w:cstheme="minorHAnsi"/>
          <w:lang w:val="fr-FR"/>
        </w:rPr>
      </w:pPr>
    </w:p>
    <w:p w:rsidR="007419F2" w:rsidRPr="00F37A89" w:rsidRDefault="00FA5AC7" w:rsidP="00051B18">
      <w:pPr>
        <w:pStyle w:val="Citationintense"/>
        <w:rPr>
          <w:rStyle w:val="Accentuation"/>
        </w:rPr>
      </w:pPr>
      <w:r w:rsidRPr="00F37A89">
        <w:rPr>
          <w:rStyle w:val="Accentuation"/>
        </w:rPr>
        <w:lastRenderedPageBreak/>
        <w:t>Le Centre souhaite i</w:t>
      </w:r>
      <w:r w:rsidR="007419F2" w:rsidRPr="00F37A89">
        <w:rPr>
          <w:rStyle w:val="Accentuation"/>
        </w:rPr>
        <w:t>nciter les structures d’aide et soins à favoriser une diversité/mixité au niveau du recrutement du personnel. Il est essentiel de ‘’briser’’ une  forme d’</w:t>
      </w:r>
      <w:proofErr w:type="spellStart"/>
      <w:r w:rsidR="00EE07FA" w:rsidRPr="00F37A89">
        <w:rPr>
          <w:rStyle w:val="Accentuation"/>
        </w:rPr>
        <w:t>e</w:t>
      </w:r>
      <w:r w:rsidR="007419F2" w:rsidRPr="00F37A89">
        <w:rPr>
          <w:rStyle w:val="Accentuation"/>
        </w:rPr>
        <w:t>thnicisation</w:t>
      </w:r>
      <w:proofErr w:type="spellEnd"/>
      <w:r w:rsidR="007419F2" w:rsidRPr="00F37A89">
        <w:rPr>
          <w:rStyle w:val="Accentuation"/>
        </w:rPr>
        <w:t xml:space="preserve"> de certaines fonctions difficiles, pénibles.</w:t>
      </w:r>
    </w:p>
    <w:p w:rsidR="00E81D32" w:rsidRDefault="00E81D32" w:rsidP="00E81D32">
      <w:pPr>
        <w:spacing w:after="0" w:line="240" w:lineRule="auto"/>
        <w:jc w:val="both"/>
        <w:rPr>
          <w:rFonts w:cstheme="minorHAnsi"/>
          <w:b/>
          <w:lang w:val="fr-FR"/>
        </w:rPr>
      </w:pPr>
    </w:p>
    <w:p w:rsidR="00B856E2" w:rsidRPr="00086F39" w:rsidRDefault="00B856E2" w:rsidP="0041651C">
      <w:pPr>
        <w:pStyle w:val="Paragraphedeliste"/>
        <w:ind w:left="1428" w:firstLine="696"/>
        <w:rPr>
          <w:rFonts w:cstheme="minorHAnsi"/>
          <w:i/>
          <w:color w:val="000000"/>
          <w:lang w:val="fr-FR"/>
        </w:rPr>
      </w:pPr>
      <w:r w:rsidRPr="0041651C">
        <w:rPr>
          <w:b/>
          <w:lang w:val="fr-FR"/>
        </w:rPr>
        <w:t>Au</w:t>
      </w:r>
      <w:r w:rsidRPr="00DA796C">
        <w:rPr>
          <w:b/>
          <w:lang w:val="fr-FR"/>
        </w:rPr>
        <w:t xml:space="preserve">  niveau des bénéficiaires</w:t>
      </w:r>
      <w:r w:rsidR="0041651C">
        <w:rPr>
          <w:b/>
          <w:lang w:val="fr-FR"/>
        </w:rPr>
        <w:t xml:space="preserve"> : </w:t>
      </w:r>
      <w:r w:rsidR="0041651C" w:rsidRPr="0041651C">
        <w:rPr>
          <w:b/>
          <w:lang w:val="fr-FR"/>
        </w:rPr>
        <w:t>c</w:t>
      </w:r>
      <w:r w:rsidRPr="0041651C">
        <w:rPr>
          <w:rFonts w:cstheme="minorHAnsi"/>
          <w:b/>
          <w:color w:val="000000"/>
          <w:lang w:val="fr-FR"/>
        </w:rPr>
        <w:t>oordination</w:t>
      </w:r>
      <w:r w:rsidRPr="00086F39">
        <w:rPr>
          <w:rFonts w:cstheme="minorHAnsi"/>
          <w:i/>
          <w:color w:val="000000"/>
          <w:lang w:val="fr-FR"/>
        </w:rPr>
        <w:t xml:space="preserve"> </w:t>
      </w:r>
    </w:p>
    <w:p w:rsidR="00E81D32" w:rsidRDefault="00E81D32" w:rsidP="00E81D32">
      <w:pPr>
        <w:pStyle w:val="Paragraphedeliste"/>
        <w:spacing w:after="0" w:line="240" w:lineRule="auto"/>
        <w:ind w:left="1068"/>
        <w:contextualSpacing w:val="0"/>
        <w:jc w:val="both"/>
        <w:rPr>
          <w:rFonts w:cstheme="minorHAnsi"/>
          <w:b/>
          <w:color w:val="000000"/>
          <w:lang w:val="fr-FR"/>
        </w:rPr>
      </w:pPr>
    </w:p>
    <w:p w:rsidR="00DA796C" w:rsidRPr="00AA21B5" w:rsidRDefault="00DA796C" w:rsidP="00E81D32">
      <w:pPr>
        <w:pStyle w:val="Paragraphedeliste"/>
        <w:spacing w:after="0" w:line="240" w:lineRule="auto"/>
        <w:ind w:left="1068"/>
        <w:contextualSpacing w:val="0"/>
        <w:jc w:val="both"/>
        <w:rPr>
          <w:rFonts w:cstheme="minorHAnsi"/>
          <w:b/>
          <w:color w:val="000000"/>
          <w:lang w:val="fr-FR"/>
        </w:rPr>
      </w:pPr>
    </w:p>
    <w:p w:rsidR="00D36B7D" w:rsidRPr="00F37A89" w:rsidRDefault="00FA5AC7" w:rsidP="00051B18">
      <w:pPr>
        <w:pStyle w:val="Citationintense"/>
        <w:rPr>
          <w:rStyle w:val="Accentuation"/>
        </w:rPr>
      </w:pPr>
      <w:r w:rsidRPr="00F37A89">
        <w:rPr>
          <w:rStyle w:val="Accentuation"/>
        </w:rPr>
        <w:t>Le Centre estime qu’u</w:t>
      </w:r>
      <w:r w:rsidR="00B856E2" w:rsidRPr="00F37A89">
        <w:rPr>
          <w:rStyle w:val="Accentuation"/>
        </w:rPr>
        <w:t>ne fusion entre les institutions complémentaires et un fonctionnement par  réseaux soutenu par les communes favoriserait la prise en charge globale du bénéficiaire et par voie de conséquence répondrait à ses besoins et ses attentes propres.</w:t>
      </w:r>
    </w:p>
    <w:p w:rsidR="00C062F4" w:rsidRDefault="00C062F4" w:rsidP="00C062F4">
      <w:pPr>
        <w:pStyle w:val="Titre2"/>
        <w:ind w:left="0"/>
        <w:rPr>
          <w:rFonts w:asciiTheme="minorHAnsi" w:hAnsiTheme="minorHAnsi" w:cstheme="minorHAnsi"/>
          <w:bCs/>
          <w:szCs w:val="24"/>
          <w:lang w:val="fr-FR"/>
        </w:rPr>
      </w:pPr>
      <w:bookmarkStart w:id="85" w:name="_Toc377028563"/>
      <w:bookmarkStart w:id="86" w:name="_Toc377030240"/>
    </w:p>
    <w:p w:rsidR="00C062F4" w:rsidRDefault="00C062F4" w:rsidP="00C062F4">
      <w:pPr>
        <w:pStyle w:val="Titre2"/>
        <w:ind w:left="0"/>
        <w:rPr>
          <w:rFonts w:asciiTheme="minorHAnsi" w:hAnsiTheme="minorHAnsi" w:cstheme="minorHAnsi"/>
          <w:bCs/>
          <w:szCs w:val="24"/>
          <w:lang w:val="fr-FR"/>
        </w:rPr>
      </w:pPr>
    </w:p>
    <w:p w:rsidR="00674C14" w:rsidRPr="00E81D32" w:rsidRDefault="00674C14" w:rsidP="005D281B">
      <w:pPr>
        <w:pStyle w:val="Titre2"/>
        <w:spacing w:after="120"/>
        <w:ind w:left="0"/>
      </w:pPr>
      <w:r w:rsidRPr="00E81D32">
        <w:t>Enseignement</w:t>
      </w:r>
      <w:bookmarkEnd w:id="85"/>
      <w:bookmarkEnd w:id="86"/>
    </w:p>
    <w:p w:rsidR="00214B26" w:rsidRPr="00E81D32" w:rsidRDefault="00214B26" w:rsidP="00E81D32">
      <w:pPr>
        <w:pStyle w:val="Titre3"/>
      </w:pPr>
      <w:bookmarkStart w:id="87" w:name="_Toc377028564"/>
      <w:bookmarkStart w:id="88" w:name="_Toc377030241"/>
      <w:r w:rsidRPr="00E81D32">
        <w:t>Baromètre de la diversité</w:t>
      </w:r>
      <w:bookmarkEnd w:id="87"/>
      <w:bookmarkEnd w:id="88"/>
    </w:p>
    <w:p w:rsidR="0069660B" w:rsidRPr="00AA21B5" w:rsidRDefault="0069660B" w:rsidP="00AA21B5">
      <w:pPr>
        <w:spacing w:after="0" w:line="240" w:lineRule="auto"/>
        <w:jc w:val="both"/>
        <w:rPr>
          <w:rFonts w:cstheme="minorHAnsi"/>
          <w:lang w:val="fr-FR"/>
        </w:rPr>
      </w:pPr>
    </w:p>
    <w:p w:rsidR="001823BE" w:rsidRDefault="001823BE" w:rsidP="005D281B">
      <w:pPr>
        <w:spacing w:after="0"/>
        <w:jc w:val="both"/>
        <w:rPr>
          <w:lang w:val="fr-FR"/>
        </w:rPr>
      </w:pPr>
      <w:r w:rsidRPr="00AA21B5">
        <w:rPr>
          <w:lang w:val="fr-FR"/>
        </w:rPr>
        <w:t xml:space="preserve">Déjà dans son premier rapport, </w:t>
      </w:r>
      <w:r w:rsidR="00BD7760" w:rsidRPr="00AA21B5">
        <w:rPr>
          <w:lang w:val="fr-FR"/>
        </w:rPr>
        <w:t>« </w:t>
      </w:r>
      <w:r w:rsidRPr="00AA21B5">
        <w:rPr>
          <w:lang w:val="fr-FR"/>
        </w:rPr>
        <w:t>L’intégration : une politique de longue haleine</w:t>
      </w:r>
      <w:r w:rsidR="00BD7760" w:rsidRPr="00AA21B5">
        <w:rPr>
          <w:lang w:val="fr-FR"/>
        </w:rPr>
        <w:t> »</w:t>
      </w:r>
      <w:r w:rsidRPr="00AA21B5">
        <w:rPr>
          <w:lang w:val="fr-FR"/>
        </w:rPr>
        <w:t xml:space="preserve">, le Commissaire royal à la politique des immigrés (1989-1993) </w:t>
      </w:r>
      <w:r w:rsidR="00865047">
        <w:rPr>
          <w:lang w:val="fr-FR"/>
        </w:rPr>
        <w:t xml:space="preserve">insistait sur </w:t>
      </w:r>
      <w:r w:rsidRPr="00AA21B5">
        <w:rPr>
          <w:lang w:val="fr-FR"/>
        </w:rPr>
        <w:t xml:space="preserve"> l’importance de l’enseignement pour l’intégration des jeunes issus de l’immigration. Tant en Communauté française que flamande, une politique spécifique a été menée à l’égard de ce groupe cible ces vingt dernières années, que ce soit ou non via un enseignement favorisant </w:t>
      </w:r>
      <w:r w:rsidR="00EE3A1D" w:rsidRPr="00AA21B5">
        <w:rPr>
          <w:lang w:val="fr-FR"/>
        </w:rPr>
        <w:t xml:space="preserve">globalement </w:t>
      </w:r>
      <w:r w:rsidRPr="00AA21B5">
        <w:rPr>
          <w:lang w:val="fr-FR"/>
        </w:rPr>
        <w:t xml:space="preserve">l’égalité des chances </w:t>
      </w:r>
      <w:r w:rsidR="00EE3A1D" w:rsidRPr="00AA21B5">
        <w:rPr>
          <w:lang w:val="fr-FR"/>
        </w:rPr>
        <w:t xml:space="preserve">en </w:t>
      </w:r>
      <w:r w:rsidRPr="00AA21B5">
        <w:rPr>
          <w:lang w:val="fr-FR"/>
        </w:rPr>
        <w:t>visa</w:t>
      </w:r>
      <w:r w:rsidR="00EE3A1D" w:rsidRPr="00AA21B5">
        <w:rPr>
          <w:lang w:val="fr-FR"/>
        </w:rPr>
        <w:t>nt</w:t>
      </w:r>
      <w:r w:rsidRPr="00AA21B5">
        <w:rPr>
          <w:lang w:val="fr-FR"/>
        </w:rPr>
        <w:t xml:space="preserve"> également d’autres groupes cibles, comme les élèves issus de familles défavorisées au plan socio-économique.</w:t>
      </w:r>
    </w:p>
    <w:p w:rsidR="0041651C" w:rsidRPr="00AA21B5" w:rsidRDefault="0041651C" w:rsidP="005D281B">
      <w:pPr>
        <w:spacing w:after="0"/>
        <w:jc w:val="both"/>
        <w:rPr>
          <w:lang w:val="fr-FR"/>
        </w:rPr>
      </w:pPr>
    </w:p>
    <w:p w:rsidR="00F553EA" w:rsidRDefault="00F553EA" w:rsidP="005D281B">
      <w:pPr>
        <w:spacing w:after="0"/>
        <w:jc w:val="both"/>
        <w:rPr>
          <w:lang w:val="fr-FR"/>
        </w:rPr>
      </w:pPr>
      <w:r w:rsidRPr="00AA21B5">
        <w:rPr>
          <w:lang w:val="fr-FR"/>
        </w:rPr>
        <w:t xml:space="preserve">Depuis la ratification de la </w:t>
      </w:r>
      <w:r w:rsidR="00EE07FA" w:rsidRPr="00AA21B5">
        <w:rPr>
          <w:lang w:val="fr-FR"/>
        </w:rPr>
        <w:t>C</w:t>
      </w:r>
      <w:r w:rsidRPr="00AA21B5">
        <w:rPr>
          <w:lang w:val="fr-FR"/>
        </w:rPr>
        <w:t xml:space="preserve">onvention des Nations </w:t>
      </w:r>
      <w:r w:rsidR="00BD7760" w:rsidRPr="00AA21B5">
        <w:rPr>
          <w:lang w:val="fr-FR"/>
        </w:rPr>
        <w:t>U</w:t>
      </w:r>
      <w:r w:rsidRPr="00AA21B5">
        <w:rPr>
          <w:lang w:val="fr-FR"/>
        </w:rPr>
        <w:t xml:space="preserve">nies relative aux droits des personnes handicapées, et depuis que le Centre s’est vu confier la mission de son suivi, la poursuite d’un </w:t>
      </w:r>
      <w:r w:rsidR="00BD7760" w:rsidRPr="00AA21B5">
        <w:rPr>
          <w:lang w:val="fr-FR"/>
        </w:rPr>
        <w:t>« </w:t>
      </w:r>
      <w:r w:rsidRPr="00AA21B5">
        <w:rPr>
          <w:lang w:val="fr-FR"/>
        </w:rPr>
        <w:t>enseignement inclusif</w:t>
      </w:r>
      <w:r w:rsidR="00BD7760" w:rsidRPr="00AA21B5">
        <w:rPr>
          <w:lang w:val="fr-FR"/>
        </w:rPr>
        <w:t>»</w:t>
      </w:r>
      <w:r w:rsidRPr="00AA21B5">
        <w:rPr>
          <w:lang w:val="fr-FR"/>
        </w:rPr>
        <w:t xml:space="preserve"> – grâce auquel les jeunes avec un handicap peuvent participer pleinement à l’enseignement ordinaire – a été inscrit à l’agenda. </w:t>
      </w:r>
    </w:p>
    <w:p w:rsidR="00E81D32" w:rsidRPr="00AA21B5" w:rsidRDefault="00E81D32" w:rsidP="005D281B">
      <w:pPr>
        <w:pStyle w:val="Sansinterligne"/>
        <w:jc w:val="both"/>
        <w:rPr>
          <w:lang w:val="fr-FR"/>
        </w:rPr>
      </w:pPr>
    </w:p>
    <w:p w:rsidR="004B0047" w:rsidRDefault="004B0047" w:rsidP="005D281B">
      <w:pPr>
        <w:spacing w:after="0"/>
        <w:jc w:val="both"/>
        <w:rPr>
          <w:lang w:val="fr-FR"/>
        </w:rPr>
      </w:pPr>
      <w:r w:rsidRPr="00AA21B5">
        <w:rPr>
          <w:lang w:val="fr-FR"/>
        </w:rPr>
        <w:t>Mais l’attention pour la situation d’élèves issus d’autres groupes cibles, les jeunes lesbigays, par exemple, est devenue</w:t>
      </w:r>
      <w:r w:rsidR="00BD7760" w:rsidRPr="00AA21B5">
        <w:rPr>
          <w:lang w:val="fr-FR"/>
        </w:rPr>
        <w:t xml:space="preserve"> d’actualité </w:t>
      </w:r>
      <w:r w:rsidRPr="00AA21B5">
        <w:rPr>
          <w:lang w:val="fr-FR"/>
        </w:rPr>
        <w:t xml:space="preserve"> ces dernières années, notamment en raison de la problématique du harcèlement à l’école.</w:t>
      </w:r>
    </w:p>
    <w:p w:rsidR="00262B96" w:rsidRDefault="00262B96" w:rsidP="005D281B">
      <w:pPr>
        <w:spacing w:after="0"/>
        <w:jc w:val="both"/>
        <w:rPr>
          <w:lang w:val="fr-FR"/>
        </w:rPr>
      </w:pPr>
    </w:p>
    <w:p w:rsidR="00FF1579" w:rsidRDefault="00FF1579" w:rsidP="005D281B">
      <w:pPr>
        <w:spacing w:after="0"/>
        <w:jc w:val="both"/>
        <w:rPr>
          <w:lang w:val="fr-FR"/>
        </w:rPr>
      </w:pPr>
      <w:r w:rsidRPr="00AA21B5">
        <w:rPr>
          <w:lang w:val="fr-FR"/>
        </w:rPr>
        <w:t>Il est important de disposer de bons instruments de mesure. C’est pourquoi il nous semble essentiel d’investir dans un instrument de mesure de qualité, capable de contribuer à façonner la politique ces 20 prochaines années et de surveiller cette politique d’enseignement, avec des accents spécifiques pour des groupes cibles qui en ont besoin, en raison du manque d’égards à leur encontre ou de leur retard.</w:t>
      </w:r>
    </w:p>
    <w:p w:rsidR="00E81D32" w:rsidRPr="00AA21B5" w:rsidRDefault="00E81D32" w:rsidP="005D281B">
      <w:pPr>
        <w:pStyle w:val="NormalWeb"/>
        <w:spacing w:before="0" w:beforeAutospacing="0" w:after="0" w:afterAutospacing="0"/>
        <w:jc w:val="both"/>
        <w:rPr>
          <w:rFonts w:asciiTheme="minorHAnsi" w:hAnsiTheme="minorHAnsi" w:cstheme="minorHAnsi"/>
          <w:lang w:val="fr-FR"/>
        </w:rPr>
      </w:pPr>
    </w:p>
    <w:p w:rsidR="00F37A89" w:rsidRDefault="005B1BA9" w:rsidP="005D281B">
      <w:pPr>
        <w:spacing w:after="0"/>
        <w:jc w:val="both"/>
        <w:rPr>
          <w:rFonts w:cstheme="minorHAnsi"/>
          <w:sz w:val="22"/>
          <w:lang w:val="fr-FR"/>
        </w:rPr>
      </w:pPr>
      <w:r w:rsidRPr="00AA21B5">
        <w:rPr>
          <w:lang w:val="fr-FR"/>
        </w:rPr>
        <w:t xml:space="preserve">Un baromètre de la diversité « enseignement » permettra, en tant qu’instrument de mesure structurel pour un certain nombre de groupes </w:t>
      </w:r>
      <w:r w:rsidRPr="00AA21B5">
        <w:rPr>
          <w:lang w:val="fr-FR"/>
        </w:rPr>
        <w:lastRenderedPageBreak/>
        <w:t xml:space="preserve">cibles choisis de manière orientée, de se faire une meilleure idée du comportement (taux de discrimination), des attitudes (taux de tolérance) et de la participation réelle (taux de participation) sur le plan de l’enseignement. </w:t>
      </w:r>
    </w:p>
    <w:p w:rsidR="00E81D32" w:rsidRPr="00AA21B5" w:rsidRDefault="00E81D32" w:rsidP="00AA21B5">
      <w:pPr>
        <w:pStyle w:val="NormalWeb"/>
        <w:spacing w:before="0" w:beforeAutospacing="0" w:after="0" w:afterAutospacing="0"/>
        <w:jc w:val="both"/>
        <w:rPr>
          <w:rFonts w:asciiTheme="minorHAnsi" w:hAnsiTheme="minorHAnsi" w:cstheme="minorHAnsi"/>
          <w:lang w:val="fr-FR"/>
        </w:rPr>
      </w:pPr>
    </w:p>
    <w:p w:rsidR="00A235F8" w:rsidRDefault="00A235F8" w:rsidP="00051B18">
      <w:pPr>
        <w:pStyle w:val="Citationintense"/>
        <w:rPr>
          <w:rStyle w:val="Accentuation"/>
        </w:rPr>
      </w:pPr>
      <w:r w:rsidRPr="00F37A89">
        <w:rPr>
          <w:rStyle w:val="Accentuation"/>
        </w:rPr>
        <w:t>Le Centre demande aux différents gouvernements compétents en matière d’enseignement d’investir entre 2014 et 2019 dans l’instrument de politique « </w:t>
      </w:r>
      <w:r w:rsidR="00262B96">
        <w:rPr>
          <w:rStyle w:val="Accentuation"/>
        </w:rPr>
        <w:t>B</w:t>
      </w:r>
      <w:r w:rsidRPr="00F37A89">
        <w:rPr>
          <w:rStyle w:val="Accentuation"/>
        </w:rPr>
        <w:t>aromètre de la diversité</w:t>
      </w:r>
      <w:r w:rsidR="00262B96">
        <w:rPr>
          <w:rStyle w:val="Accentuation"/>
        </w:rPr>
        <w:t> :</w:t>
      </w:r>
      <w:r w:rsidRPr="00F37A89">
        <w:rPr>
          <w:rStyle w:val="Accentuation"/>
        </w:rPr>
        <w:t xml:space="preserve"> </w:t>
      </w:r>
      <w:r w:rsidR="00262B96">
        <w:rPr>
          <w:rStyle w:val="Accentuation"/>
        </w:rPr>
        <w:t>E</w:t>
      </w:r>
      <w:r w:rsidRPr="00F37A89">
        <w:rPr>
          <w:rStyle w:val="Accentuation"/>
        </w:rPr>
        <w:t>nseignement ». Afin de contribuer au développement de cet instrument de mesure, le Centre compte sur le soutien (financier et en termes de compétence</w:t>
      </w:r>
      <w:r w:rsidR="00262B96">
        <w:rPr>
          <w:rStyle w:val="Accentuation"/>
        </w:rPr>
        <w:t>s</w:t>
      </w:r>
      <w:r w:rsidRPr="00F37A89">
        <w:rPr>
          <w:rStyle w:val="Accentuation"/>
        </w:rPr>
        <w:t xml:space="preserve">) des gouvernements </w:t>
      </w:r>
      <w:r w:rsidR="00EE07FA" w:rsidRPr="00F37A89">
        <w:rPr>
          <w:rStyle w:val="Accentuation"/>
        </w:rPr>
        <w:t>et des ministres</w:t>
      </w:r>
      <w:r w:rsidR="004C7C81" w:rsidRPr="00F37A89">
        <w:rPr>
          <w:rStyle w:val="Accentuation"/>
        </w:rPr>
        <w:t xml:space="preserve"> </w:t>
      </w:r>
      <w:r w:rsidR="00EE07FA" w:rsidRPr="00F37A89">
        <w:rPr>
          <w:rStyle w:val="Accentuation"/>
        </w:rPr>
        <w:t>compétents</w:t>
      </w:r>
      <w:r w:rsidRPr="00F37A89">
        <w:rPr>
          <w:rStyle w:val="Accentuation"/>
        </w:rPr>
        <w:t>.</w:t>
      </w:r>
    </w:p>
    <w:p w:rsidR="00F37A89" w:rsidRDefault="00F37A89" w:rsidP="00F37A89"/>
    <w:p w:rsidR="00CD0B1A" w:rsidRPr="00E81D32" w:rsidRDefault="00CD0B1A" w:rsidP="00E81D32">
      <w:pPr>
        <w:pStyle w:val="Titre3"/>
      </w:pPr>
      <w:bookmarkStart w:id="89" w:name="_Toc377028565"/>
      <w:bookmarkStart w:id="90" w:name="_Toc377030242"/>
      <w:r w:rsidRPr="00E81D32">
        <w:t>Signes convictionnels dans l’enseignement (élèves, étudiants)</w:t>
      </w:r>
      <w:bookmarkEnd w:id="89"/>
      <w:bookmarkEnd w:id="90"/>
    </w:p>
    <w:p w:rsidR="0069660B" w:rsidRPr="00AA21B5" w:rsidRDefault="0069660B" w:rsidP="00AA21B5">
      <w:pPr>
        <w:spacing w:after="0" w:line="240" w:lineRule="auto"/>
        <w:jc w:val="both"/>
        <w:rPr>
          <w:rFonts w:cstheme="minorHAnsi"/>
          <w:lang w:val="fr-FR"/>
        </w:rPr>
      </w:pPr>
    </w:p>
    <w:p w:rsidR="00F37A89" w:rsidRDefault="00CD0B1A" w:rsidP="005D281B">
      <w:pPr>
        <w:jc w:val="both"/>
        <w:rPr>
          <w:rFonts w:cstheme="minorHAnsi"/>
          <w:lang w:val="fr-FR"/>
        </w:rPr>
      </w:pPr>
      <w:r w:rsidRPr="00AA21B5">
        <w:rPr>
          <w:lang w:val="fr-FR"/>
        </w:rPr>
        <w:t>Le Centre appelle les partis politique</w:t>
      </w:r>
      <w:r w:rsidR="009F7E62" w:rsidRPr="00AA21B5">
        <w:rPr>
          <w:lang w:val="fr-FR"/>
        </w:rPr>
        <w:t>s</w:t>
      </w:r>
      <w:r w:rsidRPr="00AA21B5">
        <w:rPr>
          <w:lang w:val="fr-FR"/>
        </w:rPr>
        <w:t xml:space="preserve"> à prendre une position claire concernant le port de signes convictionnels dans l’enseignement. Il faut mettre fin </w:t>
      </w:r>
      <w:r w:rsidR="00BD7760" w:rsidRPr="00AA21B5">
        <w:rPr>
          <w:lang w:val="fr-FR"/>
        </w:rPr>
        <w:t xml:space="preserve">à la faculté </w:t>
      </w:r>
      <w:r w:rsidRPr="00AA21B5">
        <w:rPr>
          <w:lang w:val="fr-FR"/>
        </w:rPr>
        <w:t xml:space="preserve"> qui est laissé</w:t>
      </w:r>
      <w:r w:rsidR="00BD7760" w:rsidRPr="00AA21B5">
        <w:rPr>
          <w:lang w:val="fr-FR"/>
        </w:rPr>
        <w:t>e</w:t>
      </w:r>
      <w:r w:rsidRPr="00AA21B5">
        <w:rPr>
          <w:lang w:val="fr-FR"/>
        </w:rPr>
        <w:t xml:space="preserve"> aux pouvoirs organisateurs et aux écoles de réglementer cette question.</w:t>
      </w:r>
    </w:p>
    <w:p w:rsidR="00E81D32" w:rsidRPr="00AA21B5" w:rsidRDefault="00E81D32" w:rsidP="00AA21B5">
      <w:pPr>
        <w:spacing w:after="0" w:line="240" w:lineRule="auto"/>
        <w:jc w:val="both"/>
        <w:rPr>
          <w:rFonts w:cstheme="minorHAnsi"/>
          <w:lang w:val="fr-FR"/>
        </w:rPr>
      </w:pPr>
    </w:p>
    <w:p w:rsidR="00FA5AC7" w:rsidRPr="00F37A89" w:rsidRDefault="00FA5AC7" w:rsidP="002512B8">
      <w:pPr>
        <w:pStyle w:val="Citationintense"/>
        <w:rPr>
          <w:rStyle w:val="Accentuation"/>
        </w:rPr>
      </w:pPr>
      <w:r w:rsidRPr="00F37A89">
        <w:rPr>
          <w:rStyle w:val="Accentuation"/>
        </w:rPr>
        <w:t xml:space="preserve">Le Centre considère que : </w:t>
      </w:r>
    </w:p>
    <w:p w:rsidR="00CD0B1A" w:rsidRPr="00F37A89" w:rsidRDefault="00FA5AC7" w:rsidP="002512B8">
      <w:pPr>
        <w:pStyle w:val="Citationintense"/>
        <w:numPr>
          <w:ilvl w:val="0"/>
          <w:numId w:val="24"/>
        </w:numPr>
        <w:ind w:left="2410" w:firstLine="0"/>
        <w:rPr>
          <w:rStyle w:val="Accentuation"/>
        </w:rPr>
      </w:pPr>
      <w:r w:rsidRPr="00F37A89">
        <w:rPr>
          <w:rStyle w:val="Accentuation"/>
        </w:rPr>
        <w:t>dans l’e</w:t>
      </w:r>
      <w:r w:rsidR="00CD0B1A" w:rsidRPr="00F37A89">
        <w:rPr>
          <w:rStyle w:val="Accentuation"/>
        </w:rPr>
        <w:t xml:space="preserve">nseignement supérieur (écoles supérieures, universités, promotion sociale…) : </w:t>
      </w:r>
      <w:r w:rsidR="00EE07FA" w:rsidRPr="00F37A89">
        <w:rPr>
          <w:rStyle w:val="Accentuation"/>
        </w:rPr>
        <w:t xml:space="preserve">l’interdiction du </w:t>
      </w:r>
      <w:r w:rsidR="006757E3" w:rsidRPr="00F37A89">
        <w:rPr>
          <w:rStyle w:val="Accentuation"/>
        </w:rPr>
        <w:t>port des signes convictionnels pour les étudiants</w:t>
      </w:r>
      <w:r w:rsidR="00EE07FA" w:rsidRPr="00F37A89">
        <w:rPr>
          <w:rStyle w:val="Accentuation"/>
        </w:rPr>
        <w:t xml:space="preserve"> n’est pas admissible</w:t>
      </w:r>
      <w:r w:rsidRPr="00F37A89">
        <w:rPr>
          <w:rStyle w:val="Accentuation"/>
        </w:rPr>
        <w:t> ;</w:t>
      </w:r>
    </w:p>
    <w:p w:rsidR="00CD0B1A" w:rsidRPr="00F37A89" w:rsidRDefault="00FA5AC7" w:rsidP="002512B8">
      <w:pPr>
        <w:pStyle w:val="Citationintense"/>
        <w:numPr>
          <w:ilvl w:val="0"/>
          <w:numId w:val="24"/>
        </w:numPr>
        <w:tabs>
          <w:tab w:val="clear" w:pos="2835"/>
        </w:tabs>
        <w:ind w:left="2410" w:firstLine="0"/>
        <w:rPr>
          <w:rStyle w:val="Accentuation"/>
        </w:rPr>
      </w:pPr>
      <w:r w:rsidRPr="00F37A89">
        <w:rPr>
          <w:rStyle w:val="Accentuation"/>
        </w:rPr>
        <w:t>dans l’e</w:t>
      </w:r>
      <w:r w:rsidR="00CD0B1A" w:rsidRPr="00F37A89">
        <w:rPr>
          <w:rStyle w:val="Accentuation"/>
        </w:rPr>
        <w:t xml:space="preserve">nseignement obligatoire : la question </w:t>
      </w:r>
      <w:r w:rsidRPr="00F37A89">
        <w:rPr>
          <w:rStyle w:val="Accentuation"/>
        </w:rPr>
        <w:t xml:space="preserve">doit être tranchée </w:t>
      </w:r>
      <w:r w:rsidR="00CD0B1A" w:rsidRPr="00F37A89">
        <w:rPr>
          <w:rStyle w:val="Accentuation"/>
        </w:rPr>
        <w:t xml:space="preserve">avec éventuellement une différenciation en fonction </w:t>
      </w:r>
      <w:r w:rsidR="00034156" w:rsidRPr="00F37A89">
        <w:rPr>
          <w:rStyle w:val="Accentuation"/>
        </w:rPr>
        <w:t xml:space="preserve">du cycle </w:t>
      </w:r>
      <w:r w:rsidR="00034156" w:rsidRPr="00A70845">
        <w:rPr>
          <w:rStyle w:val="Accentuation"/>
        </w:rPr>
        <w:t>scolaire</w:t>
      </w:r>
      <w:r w:rsidR="00CD0B1A" w:rsidRPr="00A70845">
        <w:rPr>
          <w:rStyle w:val="Accentuation"/>
        </w:rPr>
        <w:t xml:space="preserve">. </w:t>
      </w:r>
    </w:p>
    <w:p w:rsidR="00E81D32" w:rsidRDefault="00E81D32" w:rsidP="00AA21B5">
      <w:pPr>
        <w:pStyle w:val="Titre3"/>
        <w:spacing w:before="0"/>
        <w:jc w:val="both"/>
        <w:rPr>
          <w:rFonts w:asciiTheme="minorHAnsi" w:hAnsiTheme="minorHAnsi" w:cstheme="minorHAnsi"/>
          <w:bCs/>
          <w:lang w:val="fr-FR"/>
        </w:rPr>
      </w:pPr>
      <w:bookmarkStart w:id="91" w:name="_Toc377028566"/>
    </w:p>
    <w:p w:rsidR="005D281B" w:rsidRDefault="005D281B" w:rsidP="00E81D32">
      <w:pPr>
        <w:pStyle w:val="Titre3"/>
      </w:pPr>
      <w:bookmarkStart w:id="92" w:name="_Toc377030243"/>
    </w:p>
    <w:p w:rsidR="009F7E62" w:rsidRPr="00E81D32" w:rsidRDefault="009F7E62" w:rsidP="00E81D32">
      <w:pPr>
        <w:pStyle w:val="Titre3"/>
      </w:pPr>
      <w:r w:rsidRPr="00E81D32">
        <w:t>Enseig</w:t>
      </w:r>
      <w:r w:rsidR="00A528DB" w:rsidRPr="00E81D32">
        <w:t>n</w:t>
      </w:r>
      <w:r w:rsidRPr="00E81D32">
        <w:t>ement + Recherche LGBT</w:t>
      </w:r>
      <w:bookmarkEnd w:id="91"/>
      <w:bookmarkEnd w:id="92"/>
    </w:p>
    <w:p w:rsidR="005B30C4" w:rsidRDefault="005B30C4" w:rsidP="00A70845">
      <w:pPr>
        <w:jc w:val="both"/>
        <w:rPr>
          <w:lang w:val="fr-FR"/>
        </w:rPr>
      </w:pPr>
    </w:p>
    <w:p w:rsidR="004D3937" w:rsidRDefault="004D3937" w:rsidP="005D281B">
      <w:pPr>
        <w:spacing w:after="0"/>
        <w:jc w:val="both"/>
        <w:rPr>
          <w:lang w:val="fr-FR"/>
        </w:rPr>
      </w:pPr>
      <w:r w:rsidRPr="00AA21B5">
        <w:rPr>
          <w:lang w:val="fr-FR"/>
        </w:rPr>
        <w:t xml:space="preserve">Pour les enfants et les jeunes lesbigays, l’enseignement est encore trop souvent un chemin de croix. Ils ne sont pas bien dans leur peau, </w:t>
      </w:r>
      <w:r w:rsidR="00262B96">
        <w:rPr>
          <w:lang w:val="fr-FR"/>
        </w:rPr>
        <w:t>constat</w:t>
      </w:r>
      <w:r w:rsidRPr="00AA21B5">
        <w:rPr>
          <w:lang w:val="fr-FR"/>
        </w:rPr>
        <w:t xml:space="preserve"> qui ressort des chiffres sur leur bien-être moindre et leur risque de suicide plus élevé. Les principaux points </w:t>
      </w:r>
      <w:r w:rsidR="0030659A">
        <w:rPr>
          <w:lang w:val="fr-FR"/>
        </w:rPr>
        <w:t xml:space="preserve">d’attention </w:t>
      </w:r>
      <w:r w:rsidRPr="00AA21B5">
        <w:rPr>
          <w:lang w:val="fr-FR"/>
        </w:rPr>
        <w:t>sont l’</w:t>
      </w:r>
      <w:proofErr w:type="spellStart"/>
      <w:r w:rsidRPr="00AA21B5">
        <w:rPr>
          <w:lang w:val="fr-FR"/>
        </w:rPr>
        <w:t>hétéronormativité</w:t>
      </w:r>
      <w:proofErr w:type="spellEnd"/>
      <w:r w:rsidRPr="00AA21B5">
        <w:rPr>
          <w:lang w:val="fr-FR"/>
        </w:rPr>
        <w:t xml:space="preserve"> de l’enseignement (qui s’exprime notamment dans le matériel pédagogique), le harcèlement homophobe et </w:t>
      </w:r>
      <w:proofErr w:type="spellStart"/>
      <w:r w:rsidRPr="00AA21B5">
        <w:rPr>
          <w:lang w:val="fr-FR"/>
        </w:rPr>
        <w:t>transphobe</w:t>
      </w:r>
      <w:proofErr w:type="spellEnd"/>
      <w:r w:rsidRPr="00AA21B5">
        <w:rPr>
          <w:lang w:val="fr-FR"/>
        </w:rPr>
        <w:t xml:space="preserve">, l’absence d’une perspective LGBT dans la formation relationnelle et sexuelle et un déficit d’informations, un manque de modèles, et les enseignants qui ne sont pas </w:t>
      </w:r>
      <w:r w:rsidR="00BD7760" w:rsidRPr="00AA21B5">
        <w:rPr>
          <w:lang w:val="fr-FR"/>
        </w:rPr>
        <w:t xml:space="preserve">toujours assez </w:t>
      </w:r>
      <w:r w:rsidRPr="00AA21B5">
        <w:rPr>
          <w:lang w:val="fr-FR"/>
        </w:rPr>
        <w:t>informés</w:t>
      </w:r>
      <w:r w:rsidR="00BD7760" w:rsidRPr="00AA21B5">
        <w:rPr>
          <w:lang w:val="fr-FR"/>
        </w:rPr>
        <w:t xml:space="preserve">. </w:t>
      </w:r>
      <w:r w:rsidR="008754B8" w:rsidRPr="00AA21B5">
        <w:rPr>
          <w:lang w:val="fr-FR"/>
        </w:rPr>
        <w:t>De</w:t>
      </w:r>
      <w:r w:rsidR="005B30C4">
        <w:rPr>
          <w:lang w:val="fr-FR"/>
        </w:rPr>
        <w:t xml:space="preserve"> surcroît</w:t>
      </w:r>
      <w:r w:rsidRPr="00AA21B5">
        <w:rPr>
          <w:lang w:val="fr-FR"/>
        </w:rPr>
        <w:t xml:space="preserve"> les jeunes filles lesbiennes et bisexuelles sont particulièrement vulnérables.</w:t>
      </w:r>
    </w:p>
    <w:p w:rsidR="005D281B" w:rsidRDefault="005D281B" w:rsidP="005D281B">
      <w:pPr>
        <w:spacing w:after="0"/>
        <w:jc w:val="both"/>
        <w:rPr>
          <w:lang w:val="fr-FR"/>
        </w:rPr>
      </w:pPr>
    </w:p>
    <w:p w:rsidR="00D82E20" w:rsidRDefault="00D82E20" w:rsidP="005D281B">
      <w:pPr>
        <w:spacing w:after="0"/>
        <w:jc w:val="both"/>
        <w:rPr>
          <w:lang w:val="fr-FR"/>
        </w:rPr>
      </w:pPr>
      <w:r w:rsidRPr="00AA21B5">
        <w:rPr>
          <w:lang w:val="fr-FR"/>
        </w:rPr>
        <w:t xml:space="preserve">Bien qu’un très grand nombre d’initiatives aient été prises, elles se soldent souvent par un échec en raison de leur caractère ponctuel et par </w:t>
      </w:r>
      <w:r w:rsidRPr="00AA21B5">
        <w:rPr>
          <w:lang w:val="fr-FR"/>
        </w:rPr>
        <w:lastRenderedPageBreak/>
        <w:t>projet. Seule une approche globale, structurelle soutenue et enracinée fera une réelle différence pour les jeunes LGBT. Une telle approche doit recouvrir toutes les facettes de l’enseignement, c.-à-d. tous les niveaux (de la classe de maternelle aux amphi</w:t>
      </w:r>
      <w:r w:rsidR="00262B96">
        <w:rPr>
          <w:lang w:val="fr-FR"/>
        </w:rPr>
        <w:t>théâtres</w:t>
      </w:r>
      <w:r w:rsidRPr="00AA21B5">
        <w:rPr>
          <w:lang w:val="fr-FR"/>
        </w:rPr>
        <w:t xml:space="preserve"> universitaires), tous les acteurs (enseignants, personnel pédagogique et de soutien, ainsi que les professeurs et organisateurs des formations des enseignants).</w:t>
      </w:r>
    </w:p>
    <w:p w:rsidR="006B5310" w:rsidRDefault="006B5310" w:rsidP="00AA21B5">
      <w:pPr>
        <w:spacing w:after="0" w:line="240" w:lineRule="auto"/>
        <w:jc w:val="both"/>
        <w:rPr>
          <w:rFonts w:cstheme="minorHAnsi"/>
          <w:szCs w:val="24"/>
          <w:lang w:val="fr-FR"/>
        </w:rPr>
      </w:pPr>
    </w:p>
    <w:p w:rsidR="00E81D32" w:rsidRPr="00AA21B5" w:rsidRDefault="00E81D32" w:rsidP="00AA21B5">
      <w:pPr>
        <w:spacing w:after="0" w:line="240" w:lineRule="auto"/>
        <w:jc w:val="both"/>
        <w:rPr>
          <w:rFonts w:cstheme="minorHAnsi"/>
          <w:szCs w:val="24"/>
          <w:lang w:val="fr-FR"/>
        </w:rPr>
      </w:pPr>
    </w:p>
    <w:p w:rsidR="00D82E20" w:rsidRPr="006B5310" w:rsidRDefault="00FA5AC7" w:rsidP="00051B18">
      <w:pPr>
        <w:pStyle w:val="Citationintense"/>
        <w:rPr>
          <w:rStyle w:val="Accentuation"/>
        </w:rPr>
      </w:pPr>
      <w:r w:rsidRPr="006B5310">
        <w:rPr>
          <w:rStyle w:val="Accentuation"/>
        </w:rPr>
        <w:t>Le Centre demande</w:t>
      </w:r>
      <w:r w:rsidR="00D82E20" w:rsidRPr="006B5310">
        <w:rPr>
          <w:rStyle w:val="Accentuation"/>
        </w:rPr>
        <w:t xml:space="preserve"> à l’ensemble des pouvoirs publics de s’atteler</w:t>
      </w:r>
      <w:r w:rsidR="00A528DB" w:rsidRPr="006B5310">
        <w:rPr>
          <w:rStyle w:val="Accentuation"/>
        </w:rPr>
        <w:t xml:space="preserve"> au développement d’une approche globale et structurelle de la question de l’orientation sexuelle et du genre à l’école afin de cerner les principaux écueils et de définir des priorités d’action</w:t>
      </w:r>
      <w:r w:rsidR="00D82E20" w:rsidRPr="006B5310">
        <w:rPr>
          <w:rStyle w:val="Accentuation"/>
        </w:rPr>
        <w:t>.</w:t>
      </w:r>
    </w:p>
    <w:p w:rsidR="00E81D32" w:rsidRDefault="00E81D32" w:rsidP="00AA21B5">
      <w:pPr>
        <w:spacing w:after="0" w:line="240" w:lineRule="auto"/>
        <w:jc w:val="both"/>
        <w:rPr>
          <w:rFonts w:cstheme="minorHAnsi"/>
          <w:b/>
          <w:szCs w:val="24"/>
          <w:lang w:val="fr-FR"/>
        </w:rPr>
      </w:pPr>
    </w:p>
    <w:p w:rsidR="00C062F4" w:rsidRDefault="00F01427" w:rsidP="005D281B">
      <w:pPr>
        <w:jc w:val="both"/>
        <w:rPr>
          <w:rFonts w:cstheme="minorHAnsi"/>
          <w:szCs w:val="24"/>
          <w:lang w:val="fr-FR"/>
        </w:rPr>
      </w:pPr>
      <w:r w:rsidRPr="00AA21B5">
        <w:rPr>
          <w:lang w:val="fr-FR"/>
        </w:rPr>
        <w:t xml:space="preserve">L’enseignement ne peut être considéré indépendamment de la recherche. Un maillon important manquant sur ce plan est un master en études de genre. Le rapport </w:t>
      </w:r>
      <w:proofErr w:type="spellStart"/>
      <w:r w:rsidRPr="00AA21B5">
        <w:rPr>
          <w:lang w:val="fr-FR"/>
        </w:rPr>
        <w:t>Tuning</w:t>
      </w:r>
      <w:proofErr w:type="spellEnd"/>
      <w:r w:rsidRPr="00AA21B5">
        <w:rPr>
          <w:lang w:val="fr-FR"/>
        </w:rPr>
        <w:t xml:space="preserve"> européen (2010) révèle que la Belgique figure en queue de peloton de l’UE en matière d’enseignement en études de genre. Une étude de faisabilité réalisée par Sophia, le réseau pour les études de genre, est arrivée à une conclusion positive.</w:t>
      </w:r>
    </w:p>
    <w:p w:rsidR="00E81D32" w:rsidRPr="00AA21B5" w:rsidRDefault="00E81D32" w:rsidP="00AA21B5">
      <w:pPr>
        <w:spacing w:after="0" w:line="240" w:lineRule="auto"/>
        <w:jc w:val="both"/>
        <w:rPr>
          <w:rFonts w:cstheme="minorHAnsi"/>
          <w:szCs w:val="24"/>
          <w:lang w:val="fr-FR"/>
        </w:rPr>
      </w:pPr>
    </w:p>
    <w:p w:rsidR="00E301D8" w:rsidRPr="00C062F4" w:rsidRDefault="00FA5AC7" w:rsidP="00051B18">
      <w:pPr>
        <w:pStyle w:val="Citationintense"/>
        <w:rPr>
          <w:rStyle w:val="Accentuation"/>
        </w:rPr>
      </w:pPr>
      <w:r w:rsidRPr="00C062F4">
        <w:rPr>
          <w:rStyle w:val="Accentuation"/>
        </w:rPr>
        <w:t xml:space="preserve">Le Centre plaide </w:t>
      </w:r>
      <w:r w:rsidR="001469CA" w:rsidRPr="00C062F4">
        <w:rPr>
          <w:rStyle w:val="Accentuation"/>
        </w:rPr>
        <w:t xml:space="preserve"> en faveur </w:t>
      </w:r>
      <w:r w:rsidR="00721C8E" w:rsidRPr="00C062F4">
        <w:rPr>
          <w:rStyle w:val="Accentuation"/>
        </w:rPr>
        <w:t>de la</w:t>
      </w:r>
      <w:r w:rsidR="001469CA" w:rsidRPr="00C062F4">
        <w:rPr>
          <w:rStyle w:val="Accentuation"/>
        </w:rPr>
        <w:t xml:space="preserve"> mise en </w:t>
      </w:r>
      <w:r w:rsidR="00721C8E" w:rsidRPr="00C062F4">
        <w:rPr>
          <w:rStyle w:val="Accentuation"/>
        </w:rPr>
        <w:t>œuvre d’un</w:t>
      </w:r>
      <w:r w:rsidR="008754B8" w:rsidRPr="00C062F4">
        <w:rPr>
          <w:rStyle w:val="Accentuation"/>
        </w:rPr>
        <w:t xml:space="preserve"> master en étude de genre</w:t>
      </w:r>
    </w:p>
    <w:p w:rsidR="00E81D32" w:rsidRDefault="00E81D32" w:rsidP="00AA21B5">
      <w:pPr>
        <w:spacing w:after="0" w:line="240" w:lineRule="auto"/>
        <w:jc w:val="both"/>
        <w:rPr>
          <w:rFonts w:cstheme="minorHAnsi"/>
          <w:szCs w:val="24"/>
          <w:lang w:val="fr-FR"/>
        </w:rPr>
      </w:pPr>
      <w:bookmarkStart w:id="93" w:name="_Hlt374459662"/>
      <w:bookmarkStart w:id="94" w:name="_Hlt374459663"/>
    </w:p>
    <w:p w:rsidR="00E81D32" w:rsidRPr="005D281B" w:rsidRDefault="00E81D32" w:rsidP="005D281B">
      <w:pPr>
        <w:spacing w:after="0"/>
        <w:jc w:val="both"/>
        <w:rPr>
          <w:sz w:val="18"/>
          <w:szCs w:val="18"/>
          <w:lang w:val="fr-FR"/>
        </w:rPr>
      </w:pPr>
      <w:r w:rsidRPr="005D281B">
        <w:rPr>
          <w:sz w:val="18"/>
          <w:szCs w:val="18"/>
          <w:lang w:val="fr-FR"/>
        </w:rPr>
        <w:t>Références :</w:t>
      </w:r>
    </w:p>
    <w:p w:rsidR="00DB5AD0" w:rsidRPr="005D281B" w:rsidRDefault="001469CA" w:rsidP="005D281B">
      <w:pPr>
        <w:spacing w:after="0"/>
        <w:rPr>
          <w:rFonts w:cstheme="minorHAnsi"/>
          <w:sz w:val="18"/>
          <w:szCs w:val="18"/>
          <w:lang w:val="fr-FR"/>
        </w:rPr>
      </w:pPr>
      <w:r w:rsidRPr="005D281B">
        <w:rPr>
          <w:sz w:val="18"/>
          <w:szCs w:val="18"/>
          <w:lang w:val="fr-FR"/>
        </w:rPr>
        <w:t xml:space="preserve">Rapport </w:t>
      </w:r>
      <w:proofErr w:type="spellStart"/>
      <w:r w:rsidRPr="005D281B">
        <w:rPr>
          <w:sz w:val="18"/>
          <w:szCs w:val="18"/>
          <w:lang w:val="fr-FR"/>
        </w:rPr>
        <w:t>Tuning</w:t>
      </w:r>
      <w:proofErr w:type="spellEnd"/>
      <w:r w:rsidRPr="005D281B">
        <w:rPr>
          <w:sz w:val="18"/>
          <w:szCs w:val="18"/>
          <w:lang w:val="fr-FR"/>
        </w:rPr>
        <w:t> :</w:t>
      </w:r>
      <w:bookmarkEnd w:id="93"/>
      <w:bookmarkEnd w:id="94"/>
      <w:r w:rsidR="00A70845" w:rsidRPr="005D281B">
        <w:rPr>
          <w:sz w:val="18"/>
          <w:szCs w:val="18"/>
          <w:lang w:val="fr-FR"/>
        </w:rPr>
        <w:t xml:space="preserve"> </w:t>
      </w:r>
      <w:hyperlink r:id="rId13" w:history="1">
        <w:r w:rsidR="00A70845" w:rsidRPr="005D281B">
          <w:rPr>
            <w:rStyle w:val="Lienhypertexte"/>
            <w:rFonts w:cstheme="minorHAnsi"/>
            <w:sz w:val="18"/>
            <w:szCs w:val="18"/>
            <w:lang w:val="fr-FR"/>
          </w:rPr>
          <w:t>http://www.atgender.eu/uploads/files/Gender%20Studies%20Tuning%20brochure%20Printed%20version%20FINAL.pdf</w:t>
        </w:r>
      </w:hyperlink>
      <w:r w:rsidR="00DB5AD0" w:rsidRPr="005D281B">
        <w:rPr>
          <w:rFonts w:cstheme="minorHAnsi"/>
          <w:sz w:val="18"/>
          <w:szCs w:val="18"/>
          <w:lang w:val="fr-FR"/>
        </w:rPr>
        <w:t xml:space="preserve"> </w:t>
      </w:r>
    </w:p>
    <w:p w:rsidR="00DB5AD0" w:rsidRPr="005D281B" w:rsidRDefault="00DB5AD0" w:rsidP="005D281B">
      <w:pPr>
        <w:spacing w:after="0" w:line="240" w:lineRule="auto"/>
        <w:jc w:val="both"/>
        <w:rPr>
          <w:rFonts w:cstheme="minorHAnsi"/>
          <w:sz w:val="18"/>
          <w:szCs w:val="18"/>
          <w:lang w:val="fr-FR"/>
        </w:rPr>
      </w:pPr>
      <w:r w:rsidRPr="005D281B">
        <w:rPr>
          <w:rFonts w:cstheme="minorHAnsi"/>
          <w:sz w:val="18"/>
          <w:szCs w:val="18"/>
          <w:lang w:val="fr-FR"/>
        </w:rPr>
        <w:t>Étude Sophia :</w:t>
      </w:r>
      <w:r w:rsidR="00A70845" w:rsidRPr="005D281B">
        <w:rPr>
          <w:rFonts w:cstheme="minorHAnsi"/>
          <w:sz w:val="18"/>
          <w:szCs w:val="18"/>
          <w:lang w:val="fr-FR"/>
        </w:rPr>
        <w:t xml:space="preserve"> </w:t>
      </w:r>
      <w:hyperlink r:id="rId14" w:history="1">
        <w:r w:rsidRPr="005D281B">
          <w:rPr>
            <w:rStyle w:val="Lienhypertexte"/>
            <w:rFonts w:cstheme="minorHAnsi"/>
            <w:sz w:val="18"/>
            <w:szCs w:val="18"/>
            <w:lang w:val="fr-FR"/>
          </w:rPr>
          <w:t>http://sophia.be/index.php/nl/pages/view/15</w:t>
        </w:r>
      </w:hyperlink>
      <w:r w:rsidRPr="005D281B">
        <w:rPr>
          <w:rFonts w:cstheme="minorHAnsi"/>
          <w:sz w:val="18"/>
          <w:szCs w:val="18"/>
          <w:lang w:val="fr-FR"/>
        </w:rPr>
        <w:t xml:space="preserve"> </w:t>
      </w:r>
    </w:p>
    <w:p w:rsidR="00E81D32" w:rsidRDefault="00E81D32" w:rsidP="00AA21B5">
      <w:pPr>
        <w:pStyle w:val="Titre3"/>
        <w:spacing w:before="0"/>
        <w:jc w:val="both"/>
        <w:rPr>
          <w:rFonts w:asciiTheme="minorHAnsi" w:hAnsiTheme="minorHAnsi" w:cstheme="minorHAnsi"/>
          <w:bCs/>
          <w:lang w:val="fr-FR"/>
        </w:rPr>
      </w:pPr>
      <w:bookmarkStart w:id="95" w:name="_Toc377028567"/>
    </w:p>
    <w:p w:rsidR="00C062F4" w:rsidRDefault="00C062F4" w:rsidP="00E81D32">
      <w:pPr>
        <w:pStyle w:val="Titre3"/>
      </w:pPr>
      <w:bookmarkStart w:id="96" w:name="_Toc377030244"/>
    </w:p>
    <w:p w:rsidR="000A22AE" w:rsidRDefault="000A22AE" w:rsidP="00E81D32">
      <w:pPr>
        <w:pStyle w:val="Titre3"/>
      </w:pPr>
    </w:p>
    <w:p w:rsidR="00882111" w:rsidRPr="00E81D32" w:rsidRDefault="00882111" w:rsidP="00E81D32">
      <w:pPr>
        <w:pStyle w:val="Titre3"/>
      </w:pPr>
      <w:r w:rsidRPr="00E81D32">
        <w:t>Éducation médias et communication interculturelle</w:t>
      </w:r>
      <w:bookmarkEnd w:id="95"/>
      <w:bookmarkEnd w:id="96"/>
    </w:p>
    <w:p w:rsidR="0069660B" w:rsidRDefault="0069660B" w:rsidP="00AA21B5">
      <w:pPr>
        <w:spacing w:after="0" w:line="240" w:lineRule="auto"/>
        <w:jc w:val="both"/>
        <w:rPr>
          <w:rFonts w:cstheme="minorHAnsi"/>
          <w:lang w:val="fr-FR"/>
        </w:rPr>
      </w:pPr>
    </w:p>
    <w:p w:rsidR="00C062F4" w:rsidRPr="00AA21B5" w:rsidRDefault="00C062F4" w:rsidP="00AA21B5">
      <w:pPr>
        <w:spacing w:after="0" w:line="240" w:lineRule="auto"/>
        <w:jc w:val="both"/>
        <w:rPr>
          <w:rFonts w:cstheme="minorHAnsi"/>
          <w:lang w:val="fr-FR"/>
        </w:rPr>
      </w:pPr>
    </w:p>
    <w:p w:rsidR="001469CA" w:rsidRPr="00C062F4" w:rsidRDefault="001469CA" w:rsidP="00051B18">
      <w:pPr>
        <w:pStyle w:val="Citationintense"/>
        <w:rPr>
          <w:rStyle w:val="Accentuation"/>
        </w:rPr>
      </w:pPr>
      <w:r w:rsidRPr="00C062F4">
        <w:rPr>
          <w:rStyle w:val="Accentuation"/>
        </w:rPr>
        <w:t>L</w:t>
      </w:r>
      <w:r w:rsidR="00FA5AC7" w:rsidRPr="00C062F4">
        <w:rPr>
          <w:rStyle w:val="Accentuation"/>
        </w:rPr>
        <w:t>e Centre est convaincu que l’</w:t>
      </w:r>
      <w:r w:rsidRPr="00C062F4">
        <w:rPr>
          <w:rStyle w:val="Accentuation"/>
        </w:rPr>
        <w:t>éducation aux médias et</w:t>
      </w:r>
      <w:r w:rsidR="005B30C4">
        <w:rPr>
          <w:rStyle w:val="Accentuation"/>
        </w:rPr>
        <w:t xml:space="preserve"> à</w:t>
      </w:r>
      <w:r w:rsidRPr="00C062F4">
        <w:rPr>
          <w:rStyle w:val="Accentuation"/>
        </w:rPr>
        <w:t xml:space="preserve"> la communi</w:t>
      </w:r>
      <w:r w:rsidR="005B30C4">
        <w:rPr>
          <w:rStyle w:val="Accentuation"/>
        </w:rPr>
        <w:t>cation interculturelle  devrai</w:t>
      </w:r>
      <w:r w:rsidRPr="00C062F4">
        <w:rPr>
          <w:rStyle w:val="Accentuation"/>
        </w:rPr>
        <w:t>t être durablement intégrée dans les objectifs des programmes d’études</w:t>
      </w:r>
      <w:r w:rsidR="008754B8" w:rsidRPr="00C062F4">
        <w:rPr>
          <w:rStyle w:val="Accentuation"/>
        </w:rPr>
        <w:t xml:space="preserve"> : </w:t>
      </w:r>
      <w:r w:rsidRPr="00C062F4">
        <w:rPr>
          <w:rStyle w:val="Accentuation"/>
        </w:rPr>
        <w:t xml:space="preserve">les élèves doivent </w:t>
      </w:r>
      <w:r w:rsidR="00A528DB" w:rsidRPr="00C062F4">
        <w:rPr>
          <w:rStyle w:val="Accentuation"/>
        </w:rPr>
        <w:t>développer un esprit critique leur permettant d’évaluer la pertinence des informations auxquelles ils sont exposés</w:t>
      </w:r>
      <w:r w:rsidR="00051B18">
        <w:rPr>
          <w:rStyle w:val="Accentuation"/>
        </w:rPr>
        <w:t>,</w:t>
      </w:r>
      <w:r w:rsidR="00A528DB" w:rsidRPr="00C062F4">
        <w:rPr>
          <w:rStyle w:val="Accentuation"/>
        </w:rPr>
        <w:t xml:space="preserve"> qui visent notamment les minorités ethniques</w:t>
      </w:r>
      <w:r w:rsidR="00051B18">
        <w:rPr>
          <w:rStyle w:val="Accentuation"/>
        </w:rPr>
        <w:t>,</w:t>
      </w:r>
      <w:r w:rsidR="00A528DB" w:rsidRPr="00C062F4">
        <w:rPr>
          <w:rStyle w:val="Accentuation"/>
        </w:rPr>
        <w:t xml:space="preserve"> et pouvoir déconstruire </w:t>
      </w:r>
      <w:r w:rsidRPr="00C062F4">
        <w:rPr>
          <w:rStyle w:val="Accentuation"/>
        </w:rPr>
        <w:t>préjugés et stéréotypes.</w:t>
      </w:r>
    </w:p>
    <w:p w:rsidR="00E81D32" w:rsidRDefault="00E81D32" w:rsidP="00AA21B5">
      <w:pPr>
        <w:spacing w:after="0" w:line="240" w:lineRule="auto"/>
        <w:jc w:val="both"/>
        <w:rPr>
          <w:rFonts w:cstheme="minorHAnsi"/>
          <w:b/>
          <w:szCs w:val="24"/>
          <w:lang w:val="fr-FR"/>
        </w:rPr>
      </w:pPr>
    </w:p>
    <w:p w:rsidR="003C539F" w:rsidRPr="00AA21B5" w:rsidRDefault="003C539F" w:rsidP="00A70845">
      <w:pPr>
        <w:jc w:val="both"/>
        <w:rPr>
          <w:lang w:val="fr-FR"/>
        </w:rPr>
      </w:pPr>
      <w:r w:rsidRPr="00AA21B5">
        <w:rPr>
          <w:lang w:val="fr-FR"/>
        </w:rPr>
        <w:t xml:space="preserve">Les élèves doivent être en mesure de démontrer l’inexactitude des mécanismes de propos haineux et </w:t>
      </w:r>
      <w:r w:rsidR="008754B8" w:rsidRPr="00AA21B5">
        <w:rPr>
          <w:lang w:val="fr-FR"/>
        </w:rPr>
        <w:t xml:space="preserve">pouvoir y </w:t>
      </w:r>
      <w:r w:rsidR="00721C8E" w:rsidRPr="00AA21B5">
        <w:rPr>
          <w:lang w:val="fr-FR"/>
        </w:rPr>
        <w:t>réagir</w:t>
      </w:r>
      <w:r w:rsidRPr="00AA21B5">
        <w:rPr>
          <w:lang w:val="fr-FR"/>
        </w:rPr>
        <w:t xml:space="preserve">. De manière générale, il importe d’accroître la résistance morale. Les écoles doivent non seulement apprendre à reconnaître le racisme et la discrimination, mais aussi la manière de les gérer, </w:t>
      </w:r>
      <w:r w:rsidR="00375523" w:rsidRPr="00AA21B5">
        <w:rPr>
          <w:lang w:val="fr-FR"/>
        </w:rPr>
        <w:t>d’intervenir</w:t>
      </w:r>
      <w:r w:rsidR="00865047">
        <w:rPr>
          <w:lang w:val="fr-FR"/>
        </w:rPr>
        <w:t xml:space="preserve"> (contre-discours)</w:t>
      </w:r>
      <w:r w:rsidRPr="00AA21B5">
        <w:rPr>
          <w:lang w:val="fr-FR"/>
        </w:rPr>
        <w:t xml:space="preserve"> et de les réprimer.</w:t>
      </w:r>
    </w:p>
    <w:p w:rsidR="000A22AE" w:rsidRDefault="000A22AE" w:rsidP="00E81D32">
      <w:pPr>
        <w:pStyle w:val="Titre3"/>
      </w:pPr>
      <w:bookmarkStart w:id="97" w:name="_Toc377028568"/>
      <w:bookmarkStart w:id="98" w:name="_Toc377030245"/>
    </w:p>
    <w:p w:rsidR="003C539F" w:rsidRPr="00E81D32" w:rsidRDefault="003C539F" w:rsidP="00E81D32">
      <w:pPr>
        <w:pStyle w:val="Titre3"/>
      </w:pPr>
      <w:r w:rsidRPr="00E81D32">
        <w:t>Renforcement des compétences chez les enseignants</w:t>
      </w:r>
      <w:bookmarkEnd w:id="97"/>
      <w:bookmarkEnd w:id="98"/>
    </w:p>
    <w:p w:rsidR="0069660B" w:rsidRDefault="0069660B" w:rsidP="00AA21B5">
      <w:pPr>
        <w:spacing w:after="0" w:line="240" w:lineRule="auto"/>
        <w:jc w:val="both"/>
        <w:rPr>
          <w:rFonts w:cstheme="minorHAnsi"/>
          <w:lang w:val="fr-FR"/>
        </w:rPr>
      </w:pPr>
    </w:p>
    <w:p w:rsidR="00C062F4" w:rsidRPr="00AA21B5" w:rsidRDefault="00C062F4" w:rsidP="00AA21B5">
      <w:pPr>
        <w:spacing w:after="0" w:line="240" w:lineRule="auto"/>
        <w:jc w:val="both"/>
        <w:rPr>
          <w:rFonts w:cstheme="minorHAnsi"/>
          <w:lang w:val="fr-FR"/>
        </w:rPr>
      </w:pPr>
    </w:p>
    <w:p w:rsidR="00AB721F" w:rsidRPr="006B5310" w:rsidRDefault="008754B8" w:rsidP="00051B18">
      <w:pPr>
        <w:pStyle w:val="Citationintense"/>
        <w:rPr>
          <w:rStyle w:val="Accentuation"/>
        </w:rPr>
      </w:pPr>
      <w:r w:rsidRPr="006B5310">
        <w:rPr>
          <w:rStyle w:val="Accentuation"/>
        </w:rPr>
        <w:t>A</w:t>
      </w:r>
      <w:r w:rsidR="00AB721F" w:rsidRPr="006B5310">
        <w:rPr>
          <w:rStyle w:val="Accentuation"/>
        </w:rPr>
        <w:t>u cours de la formation et de la carrière</w:t>
      </w:r>
      <w:r w:rsidRPr="006B5310">
        <w:rPr>
          <w:rStyle w:val="Accentuation"/>
        </w:rPr>
        <w:t xml:space="preserve"> des enseignants, des compétences doivent être renforcées </w:t>
      </w:r>
      <w:r w:rsidR="00AB721F" w:rsidRPr="006B5310">
        <w:rPr>
          <w:rStyle w:val="Accentuation"/>
        </w:rPr>
        <w:t>afin</w:t>
      </w:r>
      <w:r w:rsidRPr="006B5310">
        <w:rPr>
          <w:rStyle w:val="Accentuation"/>
        </w:rPr>
        <w:t xml:space="preserve"> de mieux combattre </w:t>
      </w:r>
      <w:r w:rsidR="00AB721F" w:rsidRPr="006B5310">
        <w:rPr>
          <w:rStyle w:val="Accentuation"/>
        </w:rPr>
        <w:t>le racisme, la discrimination et l’intolérance.</w:t>
      </w:r>
    </w:p>
    <w:p w:rsidR="00E81D32" w:rsidRPr="00DC08A6" w:rsidRDefault="00E81D32" w:rsidP="00AA21B5">
      <w:pPr>
        <w:spacing w:after="0" w:line="240" w:lineRule="auto"/>
        <w:jc w:val="both"/>
        <w:rPr>
          <w:rFonts w:cstheme="minorHAnsi"/>
          <w:szCs w:val="24"/>
        </w:rPr>
      </w:pPr>
    </w:p>
    <w:p w:rsidR="00FC007E" w:rsidRPr="00AA21B5" w:rsidRDefault="00FC007E" w:rsidP="00E4259E">
      <w:pPr>
        <w:jc w:val="both"/>
        <w:rPr>
          <w:lang w:val="fr-FR"/>
        </w:rPr>
      </w:pPr>
      <w:r w:rsidRPr="00AA21B5">
        <w:rPr>
          <w:lang w:val="fr-FR"/>
        </w:rPr>
        <w:t xml:space="preserve">La communication interculturelle et la diversité doivent se voir attribuer une place structurelle au sein des formations du personnel enseignant. </w:t>
      </w:r>
    </w:p>
    <w:p w:rsidR="001E4692" w:rsidRPr="00AA21B5" w:rsidRDefault="001E4692" w:rsidP="00AA21B5">
      <w:pPr>
        <w:spacing w:after="0" w:line="240" w:lineRule="auto"/>
        <w:jc w:val="both"/>
        <w:rPr>
          <w:rFonts w:cstheme="minorHAnsi"/>
          <w:lang w:val="fr-FR"/>
        </w:rPr>
      </w:pPr>
      <w:r w:rsidRPr="00AA21B5">
        <w:rPr>
          <w:rFonts w:cstheme="minorHAnsi"/>
          <w:lang w:val="fr-FR"/>
        </w:rPr>
        <w:br w:type="page"/>
      </w:r>
    </w:p>
    <w:p w:rsidR="00683566" w:rsidRPr="00E81D32" w:rsidRDefault="00683566" w:rsidP="00C062F4">
      <w:pPr>
        <w:pStyle w:val="Titre1"/>
        <w:ind w:left="0"/>
      </w:pPr>
      <w:bookmarkStart w:id="99" w:name="_Toc377028569"/>
      <w:bookmarkStart w:id="100" w:name="_Toc377030246"/>
      <w:r w:rsidRPr="00E81D32">
        <w:lastRenderedPageBreak/>
        <w:t>Régions</w:t>
      </w:r>
      <w:bookmarkEnd w:id="99"/>
      <w:bookmarkEnd w:id="100"/>
    </w:p>
    <w:p w:rsidR="001E4692" w:rsidRPr="00AA21B5" w:rsidRDefault="001E4692" w:rsidP="00AA21B5">
      <w:pPr>
        <w:spacing w:after="0" w:line="240" w:lineRule="auto"/>
        <w:jc w:val="both"/>
        <w:rPr>
          <w:rFonts w:cstheme="minorHAnsi"/>
          <w:lang w:val="fr-FR"/>
        </w:rPr>
      </w:pPr>
    </w:p>
    <w:p w:rsidR="00683566" w:rsidRPr="00E81D32" w:rsidRDefault="00683566" w:rsidP="00E4259E">
      <w:pPr>
        <w:pStyle w:val="Titre2"/>
        <w:ind w:left="0"/>
      </w:pPr>
      <w:bookmarkStart w:id="101" w:name="_Toc377028570"/>
      <w:bookmarkStart w:id="102" w:name="_Toc377030247"/>
      <w:r w:rsidRPr="00E81D32">
        <w:t>Logement</w:t>
      </w:r>
      <w:bookmarkEnd w:id="101"/>
      <w:bookmarkEnd w:id="102"/>
    </w:p>
    <w:p w:rsidR="0069660B" w:rsidRPr="00AA21B5" w:rsidRDefault="0069660B" w:rsidP="00970ACC">
      <w:pPr>
        <w:spacing w:after="0" w:line="240" w:lineRule="auto"/>
        <w:jc w:val="both"/>
        <w:rPr>
          <w:rFonts w:cstheme="minorHAnsi"/>
          <w:lang w:val="fr-FR"/>
        </w:rPr>
      </w:pPr>
    </w:p>
    <w:p w:rsidR="001E4692" w:rsidRDefault="001E4692" w:rsidP="00970ACC">
      <w:pPr>
        <w:spacing w:after="0"/>
        <w:jc w:val="both"/>
        <w:rPr>
          <w:lang w:val="fr-FR"/>
        </w:rPr>
      </w:pPr>
      <w:r w:rsidRPr="00AA21B5">
        <w:rPr>
          <w:lang w:val="fr-FR"/>
        </w:rPr>
        <w:t>La régionalisation de la loi sur le bail a été inscrite lors de cette législature au programme de la réforme institutionnelle de l’Etat.</w:t>
      </w:r>
      <w:r w:rsidR="007419F2" w:rsidRPr="00AA21B5">
        <w:rPr>
          <w:lang w:val="fr-FR"/>
        </w:rPr>
        <w:t xml:space="preserve"> Le Centre souligne que cette régionalisation conduit à une diminution des mécanismes de recours pour les victimes de discriminations raciales dans le secteur du logement. En effet, la loi fédérale comporte des dispositions pénales sanctionnant ce type de discrimination, alors que les décrets et ordonnances, qui seront d’application à l’avenir ne comportent pas ce type de disposition.</w:t>
      </w:r>
    </w:p>
    <w:p w:rsidR="00E81D32" w:rsidRPr="00AA21B5" w:rsidRDefault="00E81D32" w:rsidP="00970ACC">
      <w:pPr>
        <w:spacing w:after="0" w:line="240" w:lineRule="auto"/>
        <w:jc w:val="both"/>
        <w:rPr>
          <w:rFonts w:cstheme="minorHAnsi"/>
          <w:lang w:val="fr-FR"/>
        </w:rPr>
      </w:pPr>
    </w:p>
    <w:p w:rsidR="001E4692" w:rsidRDefault="001E4692" w:rsidP="00970ACC">
      <w:pPr>
        <w:spacing w:after="0"/>
        <w:jc w:val="both"/>
        <w:rPr>
          <w:lang w:val="fr-FR"/>
        </w:rPr>
      </w:pPr>
      <w:r w:rsidRPr="00AA21B5">
        <w:rPr>
          <w:lang w:val="fr-FR"/>
        </w:rPr>
        <w:t>Dans le cadre de cette régionalisation, le Centre souhaite attirer l’attention sur c</w:t>
      </w:r>
      <w:r w:rsidR="00CA0BCA" w:rsidRPr="00AA21B5">
        <w:rPr>
          <w:lang w:val="fr-FR"/>
        </w:rPr>
        <w:t>ertains points.</w:t>
      </w:r>
    </w:p>
    <w:p w:rsidR="00E81D32" w:rsidRPr="00AA21B5" w:rsidRDefault="00E81D32" w:rsidP="00AA21B5">
      <w:pPr>
        <w:spacing w:after="0" w:line="240" w:lineRule="auto"/>
        <w:jc w:val="both"/>
        <w:rPr>
          <w:rFonts w:cstheme="minorHAnsi"/>
          <w:lang w:val="fr-FR"/>
        </w:rPr>
      </w:pPr>
    </w:p>
    <w:p w:rsidR="003E7EF2" w:rsidRPr="00E81D32" w:rsidRDefault="003E7EF2" w:rsidP="00E81D32">
      <w:pPr>
        <w:pStyle w:val="Titre3"/>
      </w:pPr>
      <w:bookmarkStart w:id="103" w:name="_Toc377028571"/>
      <w:bookmarkStart w:id="104" w:name="_Toc377030248"/>
      <w:r w:rsidRPr="00E81D32">
        <w:t>Mesures pour favoriser l’égalité de traitement</w:t>
      </w:r>
      <w:bookmarkEnd w:id="103"/>
      <w:bookmarkEnd w:id="104"/>
    </w:p>
    <w:p w:rsidR="0069660B" w:rsidRPr="00AA21B5" w:rsidRDefault="0069660B" w:rsidP="00AA21B5">
      <w:pPr>
        <w:spacing w:after="0" w:line="240" w:lineRule="auto"/>
        <w:jc w:val="both"/>
        <w:rPr>
          <w:rFonts w:cstheme="minorHAnsi"/>
          <w:lang w:val="fr-FR"/>
        </w:rPr>
      </w:pPr>
    </w:p>
    <w:p w:rsidR="003E7EF2" w:rsidRDefault="003E7EF2" w:rsidP="00E4259E">
      <w:pPr>
        <w:jc w:val="both"/>
        <w:rPr>
          <w:lang w:val="fr-FR"/>
        </w:rPr>
      </w:pPr>
      <w:r w:rsidRPr="00AA21B5">
        <w:rPr>
          <w:lang w:val="fr-FR"/>
        </w:rPr>
        <w:t xml:space="preserve">La régionalisation de la matière du bail est l’occasion de maintenir et/ou de renforcer les dispositions garantissant, directement ou indirectement, une égalité de traitement et participant à la lutte contre les discriminations. </w:t>
      </w:r>
    </w:p>
    <w:p w:rsidR="003E7EF2" w:rsidRDefault="003E7EF2" w:rsidP="00E4259E">
      <w:pPr>
        <w:jc w:val="both"/>
        <w:rPr>
          <w:lang w:val="fr-FR"/>
        </w:rPr>
      </w:pPr>
      <w:r w:rsidRPr="00AA21B5">
        <w:rPr>
          <w:lang w:val="fr-FR"/>
        </w:rPr>
        <w:t>Parmi ces éléments, on citera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’obligation de l’affichage du montant du loyer et des frais communs</w:t>
      </w:r>
      <w:r w:rsidRPr="00E4259E">
        <w:rPr>
          <w:lang w:val="fr-FR"/>
        </w:rPr>
        <w:t> ;</w:t>
      </w:r>
      <w:r w:rsidR="003E7EF2" w:rsidRPr="00E4259E">
        <w:rPr>
          <w:lang w:val="fr-FR"/>
        </w:rPr>
        <w:t xml:space="preserve">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’organisation de la mise en œuvre du contrôle de cette obligation en concertation avec les autorités compétentes</w:t>
      </w:r>
      <w:r w:rsidRPr="00E4259E">
        <w:rPr>
          <w:lang w:val="fr-FR"/>
        </w:rPr>
        <w:t xml:space="preserve"> ;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’obligation de conclure les baux par écrit</w:t>
      </w:r>
      <w:r w:rsidRPr="00E4259E">
        <w:rPr>
          <w:lang w:val="fr-FR"/>
        </w:rPr>
        <w:t xml:space="preserve"> ; </w:t>
      </w:r>
      <w:r w:rsidR="003E7EF2" w:rsidRPr="00E4259E">
        <w:rPr>
          <w:lang w:val="fr-FR"/>
        </w:rPr>
        <w:t xml:space="preserve">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’obligation d’établir un état des lieux</w:t>
      </w:r>
      <w:r w:rsidRPr="00E4259E">
        <w:rPr>
          <w:lang w:val="fr-FR"/>
        </w:rPr>
        <w:t xml:space="preserve"> ;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’obligation de l’enregistrement des baux</w:t>
      </w:r>
      <w:r w:rsidRPr="00E4259E">
        <w:rPr>
          <w:lang w:val="fr-FR"/>
        </w:rPr>
        <w:t xml:space="preserve"> ; </w:t>
      </w:r>
      <w:r w:rsidR="003E7EF2" w:rsidRPr="00E4259E">
        <w:rPr>
          <w:lang w:val="fr-FR"/>
        </w:rPr>
        <w:t xml:space="preserve"> </w:t>
      </w:r>
    </w:p>
    <w:p w:rsidR="003E7EF2" w:rsidRPr="00E4259E" w:rsidRDefault="008754B8" w:rsidP="00E4259E">
      <w:pPr>
        <w:pStyle w:val="Paragraphedeliste"/>
        <w:numPr>
          <w:ilvl w:val="0"/>
          <w:numId w:val="27"/>
        </w:numPr>
        <w:jc w:val="both"/>
        <w:rPr>
          <w:lang w:val="fr-FR"/>
        </w:rPr>
      </w:pPr>
      <w:r w:rsidRPr="00E4259E">
        <w:rPr>
          <w:lang w:val="fr-FR"/>
        </w:rPr>
        <w:t>l</w:t>
      </w:r>
      <w:r w:rsidR="003E7EF2" w:rsidRPr="00E4259E">
        <w:rPr>
          <w:lang w:val="fr-FR"/>
        </w:rPr>
        <w:t>a mise en place d’un système de garantie locative permettant aux personnes à faible revenu de pouvoir se loger.</w:t>
      </w:r>
    </w:p>
    <w:p w:rsidR="00C062F4" w:rsidRPr="00C062F4" w:rsidRDefault="00C062F4" w:rsidP="00C062F4">
      <w:pPr>
        <w:spacing w:after="0" w:line="240" w:lineRule="auto"/>
        <w:ind w:left="0"/>
        <w:jc w:val="both"/>
        <w:rPr>
          <w:rFonts w:cstheme="minorHAnsi"/>
          <w:lang w:val="fr-FR"/>
        </w:rPr>
      </w:pPr>
    </w:p>
    <w:p w:rsidR="00E81D32" w:rsidRPr="00AA21B5" w:rsidRDefault="00E81D32" w:rsidP="00E81D32">
      <w:pPr>
        <w:pStyle w:val="Paragraphedeliste"/>
        <w:spacing w:after="0" w:line="240" w:lineRule="auto"/>
        <w:ind w:left="0"/>
        <w:contextualSpacing w:val="0"/>
        <w:jc w:val="both"/>
        <w:rPr>
          <w:rFonts w:cstheme="minorHAnsi"/>
          <w:lang w:val="fr-FR"/>
        </w:rPr>
      </w:pPr>
    </w:p>
    <w:p w:rsidR="003E7EF2" w:rsidRPr="006B5310" w:rsidRDefault="003E7EF2" w:rsidP="00051B18">
      <w:pPr>
        <w:pStyle w:val="Citationintense"/>
        <w:rPr>
          <w:rStyle w:val="Accentuation"/>
        </w:rPr>
      </w:pPr>
      <w:r w:rsidRPr="006B5310">
        <w:rPr>
          <w:rStyle w:val="Accentuation"/>
        </w:rPr>
        <w:t>Le Centre invite les autorités régionales à introduire dans ces nouveaux décrets ou ordonnances un rappel des principes de non-discrimination. Par ailleurs, il est important que lors de leur adoption, une campagne d’information soit élaborée afin de veiller à ce que chaque citoyen soit informé des différentes dispo</w:t>
      </w:r>
      <w:r w:rsidR="00DC08A6">
        <w:rPr>
          <w:rStyle w:val="Accentuation"/>
        </w:rPr>
        <w:t>sitions en application dans sa R</w:t>
      </w:r>
      <w:r w:rsidRPr="006B5310">
        <w:rPr>
          <w:rStyle w:val="Accentuation"/>
        </w:rPr>
        <w:t xml:space="preserve">égion.  </w:t>
      </w:r>
    </w:p>
    <w:p w:rsidR="00E81D32" w:rsidRPr="00DC08A6" w:rsidRDefault="00E81D32" w:rsidP="00AA21B5">
      <w:pPr>
        <w:pStyle w:val="Titre3"/>
        <w:spacing w:before="0"/>
        <w:jc w:val="both"/>
        <w:rPr>
          <w:rFonts w:asciiTheme="minorHAnsi" w:hAnsiTheme="minorHAnsi" w:cstheme="minorHAnsi"/>
        </w:rPr>
      </w:pPr>
      <w:bookmarkStart w:id="105" w:name="_Toc377028572"/>
    </w:p>
    <w:p w:rsidR="00E4259E" w:rsidRDefault="00E4259E">
      <w:pPr>
        <w:rPr>
          <w:lang w:val="fr-FR"/>
        </w:rPr>
      </w:pPr>
      <w:r>
        <w:rPr>
          <w:lang w:val="fr-FR"/>
        </w:rPr>
        <w:br w:type="page"/>
      </w:r>
    </w:p>
    <w:p w:rsidR="00C062F4" w:rsidRPr="00C062F4" w:rsidRDefault="00C062F4" w:rsidP="00C062F4">
      <w:pPr>
        <w:rPr>
          <w:lang w:val="fr-FR"/>
        </w:rPr>
      </w:pPr>
    </w:p>
    <w:p w:rsidR="00CA0BCA" w:rsidRPr="00E81D32" w:rsidRDefault="00CA0BCA" w:rsidP="00E81D32">
      <w:pPr>
        <w:pStyle w:val="Titre3"/>
      </w:pPr>
      <w:bookmarkStart w:id="106" w:name="_Toc377030249"/>
      <w:r w:rsidRPr="00E81D32">
        <w:t>Inspection régionale du logement</w:t>
      </w:r>
      <w:bookmarkEnd w:id="105"/>
      <w:bookmarkEnd w:id="106"/>
    </w:p>
    <w:p w:rsidR="0069660B" w:rsidRPr="00AA21B5" w:rsidRDefault="0069660B" w:rsidP="00AA21B5">
      <w:pPr>
        <w:spacing w:after="0" w:line="240" w:lineRule="auto"/>
        <w:jc w:val="both"/>
        <w:rPr>
          <w:rFonts w:cstheme="minorHAnsi"/>
          <w:lang w:val="fr-FR"/>
        </w:rPr>
      </w:pPr>
    </w:p>
    <w:p w:rsidR="00C062F4" w:rsidRDefault="001E4692" w:rsidP="00970ACC">
      <w:pPr>
        <w:jc w:val="both"/>
        <w:rPr>
          <w:rFonts w:cstheme="minorHAnsi"/>
          <w:lang w:val="fr-FR"/>
        </w:rPr>
      </w:pPr>
      <w:r w:rsidRPr="00AA21B5">
        <w:rPr>
          <w:lang w:val="fr-FR"/>
        </w:rPr>
        <w:t>L’expérience du Centre ainsi que des études en la matière tendent à montrer que les discriminations dans le domaine du logement sont encore bien présentes, bien qu’elles soient de plus en plus difficiles à identifier et à prouver, et donc à sanctionner.</w:t>
      </w:r>
    </w:p>
    <w:p w:rsidR="00E81D32" w:rsidRPr="00AA21B5" w:rsidRDefault="00E81D32" w:rsidP="00AA21B5">
      <w:pPr>
        <w:spacing w:after="0" w:line="240" w:lineRule="auto"/>
        <w:jc w:val="both"/>
        <w:rPr>
          <w:rFonts w:cstheme="minorHAnsi"/>
          <w:lang w:val="fr-FR"/>
        </w:rPr>
      </w:pPr>
    </w:p>
    <w:p w:rsidR="001E4692" w:rsidRPr="006B5310" w:rsidRDefault="001E4692" w:rsidP="00051B18">
      <w:pPr>
        <w:pStyle w:val="Citationintense"/>
        <w:rPr>
          <w:rStyle w:val="Accentuation"/>
        </w:rPr>
      </w:pPr>
      <w:r w:rsidRPr="006B5310">
        <w:rPr>
          <w:rStyle w:val="Accentuation"/>
        </w:rPr>
        <w:t>Le Centre recommande de développer des outils qui permettent de démontrer l’existence des discriminations raciales et de les sanctionner. Il pourrait être envisagé d’étendre les compétences des services régionaux d’inspection du logement à l‘application de la règlementation antidiscrimination. Ces services devraient être outillés pour pouvoir effectuer des contrôles et pour délivrer des sanctions financières.</w:t>
      </w:r>
    </w:p>
    <w:p w:rsidR="00E81D32" w:rsidRDefault="00E81D32" w:rsidP="00AA21B5">
      <w:pPr>
        <w:spacing w:after="0" w:line="240" w:lineRule="auto"/>
        <w:jc w:val="both"/>
        <w:rPr>
          <w:rFonts w:cstheme="minorHAnsi"/>
          <w:b/>
          <w:lang w:val="fr-FR"/>
        </w:rPr>
      </w:pPr>
    </w:p>
    <w:p w:rsidR="00E81D32" w:rsidRDefault="00CA0BCA" w:rsidP="00E4259E">
      <w:pPr>
        <w:jc w:val="both"/>
        <w:rPr>
          <w:lang w:val="fr-FR"/>
        </w:rPr>
      </w:pPr>
      <w:r w:rsidRPr="00AA21B5">
        <w:rPr>
          <w:lang w:val="fr-FR"/>
        </w:rPr>
        <w:t xml:space="preserve">Ces contrôles pourraient, d’une part, prendre la forme d’enquêtes en cas de plainte individuelle, dont le rapport permettrait d’étayer les poursuites et les sanctions ou, d’autre part, consister en des contrôles périodiques auprès des agents immobiliers à l’aide de </w:t>
      </w:r>
      <w:r w:rsidR="000D2BFC" w:rsidRPr="00AA21B5">
        <w:rPr>
          <w:lang w:val="fr-FR"/>
        </w:rPr>
        <w:t>« </w:t>
      </w:r>
      <w:proofErr w:type="spellStart"/>
      <w:r w:rsidRPr="00AA21B5">
        <w:rPr>
          <w:lang w:val="fr-FR"/>
        </w:rPr>
        <w:t>mystery</w:t>
      </w:r>
      <w:proofErr w:type="spellEnd"/>
      <w:r w:rsidRPr="00AA21B5">
        <w:rPr>
          <w:lang w:val="fr-FR"/>
        </w:rPr>
        <w:t xml:space="preserve"> shoppings</w:t>
      </w:r>
      <w:r w:rsidR="000D2BFC" w:rsidRPr="00AA21B5">
        <w:rPr>
          <w:lang w:val="fr-FR"/>
        </w:rPr>
        <w:t> »</w:t>
      </w:r>
      <w:r w:rsidRPr="00AA21B5">
        <w:rPr>
          <w:lang w:val="fr-FR"/>
        </w:rPr>
        <w:t>.</w:t>
      </w:r>
      <w:bookmarkStart w:id="107" w:name="_Toc377028573"/>
    </w:p>
    <w:p w:rsidR="00FC2683" w:rsidRDefault="00FC2683" w:rsidP="00FC2683">
      <w:pPr>
        <w:spacing w:after="0" w:line="240" w:lineRule="auto"/>
        <w:jc w:val="both"/>
        <w:rPr>
          <w:rFonts w:cstheme="minorHAnsi"/>
          <w:lang w:val="fr-FR"/>
        </w:rPr>
      </w:pPr>
    </w:p>
    <w:p w:rsidR="0020450F" w:rsidRPr="00E81D32" w:rsidRDefault="0020450F" w:rsidP="00E81D32">
      <w:pPr>
        <w:pStyle w:val="Titre3"/>
      </w:pPr>
      <w:bookmarkStart w:id="108" w:name="_Toc377030250"/>
      <w:r w:rsidRPr="00E81D32">
        <w:t>Développer concrètement et assurer la mise en place des recommandations issues du Baromètre de la Diversité dans le domaine du logement (public et privé) de 2014</w:t>
      </w:r>
      <w:bookmarkEnd w:id="107"/>
      <w:bookmarkEnd w:id="108"/>
    </w:p>
    <w:p w:rsidR="0069660B" w:rsidRPr="00AA21B5" w:rsidRDefault="0069660B" w:rsidP="00AA21B5">
      <w:pPr>
        <w:spacing w:after="0" w:line="240" w:lineRule="auto"/>
        <w:jc w:val="both"/>
        <w:rPr>
          <w:rFonts w:cstheme="minorHAnsi"/>
          <w:lang w:val="fr-FR"/>
        </w:rPr>
      </w:pPr>
    </w:p>
    <w:p w:rsidR="006B5310" w:rsidRDefault="0020450F" w:rsidP="00970ACC">
      <w:pPr>
        <w:jc w:val="both"/>
        <w:rPr>
          <w:rFonts w:cstheme="minorHAnsi"/>
          <w:lang w:val="fr-FR"/>
        </w:rPr>
      </w:pPr>
      <w:r w:rsidRPr="00AA21B5">
        <w:rPr>
          <w:lang w:val="fr-FR"/>
        </w:rPr>
        <w:t xml:space="preserve">En 2013, le Centre a commandité une recherche, le </w:t>
      </w:r>
      <w:r w:rsidR="00C562B7" w:rsidRPr="00AA21B5">
        <w:rPr>
          <w:lang w:val="fr-FR"/>
        </w:rPr>
        <w:t>Baromètre de la d</w:t>
      </w:r>
      <w:r w:rsidRPr="00AA21B5">
        <w:rPr>
          <w:lang w:val="fr-FR"/>
        </w:rPr>
        <w:t xml:space="preserve">iversité sur le thème du logement qui, en développant une approche et des méthodes </w:t>
      </w:r>
      <w:r w:rsidRPr="00794103">
        <w:t xml:space="preserve">différenciées pour le logement public et le logement privé, a pour objectif de </w:t>
      </w:r>
      <w:proofErr w:type="spellStart"/>
      <w:r w:rsidRPr="00794103">
        <w:t>mieu</w:t>
      </w:r>
      <w:proofErr w:type="spellEnd"/>
      <w:r w:rsidRPr="00AA21B5">
        <w:rPr>
          <w:lang w:val="fr-FR"/>
        </w:rPr>
        <w:t>x mesurer les phénomènes de discriminations et d’en comprendre les mécanismes et les causes. Les résultats de cette recherche devraient être disponibles en mars 2014. De ceux-ci seront tirés, tant pour le logement public que pour le logement privé, des recommandations.</w:t>
      </w:r>
    </w:p>
    <w:p w:rsidR="00E81D32" w:rsidRPr="00AA21B5" w:rsidRDefault="00E81D32" w:rsidP="00AA21B5">
      <w:pPr>
        <w:spacing w:after="0" w:line="240" w:lineRule="auto"/>
        <w:jc w:val="both"/>
        <w:rPr>
          <w:rFonts w:cstheme="minorHAnsi"/>
          <w:lang w:val="fr-FR"/>
        </w:rPr>
      </w:pPr>
    </w:p>
    <w:p w:rsidR="0020450F" w:rsidRPr="006B5310" w:rsidRDefault="0020450F" w:rsidP="00051B18">
      <w:pPr>
        <w:pStyle w:val="Citationintense"/>
        <w:rPr>
          <w:rStyle w:val="Accentuation"/>
        </w:rPr>
      </w:pPr>
      <w:r w:rsidRPr="006B5310">
        <w:rPr>
          <w:rStyle w:val="Accentuation"/>
        </w:rPr>
        <w:t>Le Centre demande aux acteurs politique</w:t>
      </w:r>
      <w:r w:rsidR="00C562B7" w:rsidRPr="006B5310">
        <w:rPr>
          <w:rStyle w:val="Accentuation"/>
        </w:rPr>
        <w:t>s</w:t>
      </w:r>
      <w:r w:rsidRPr="006B5310">
        <w:rPr>
          <w:rStyle w:val="Accentuation"/>
        </w:rPr>
        <w:t xml:space="preserve"> compétents de </w:t>
      </w:r>
      <w:r w:rsidR="00C562B7" w:rsidRPr="006B5310">
        <w:rPr>
          <w:rStyle w:val="Accentuation"/>
        </w:rPr>
        <w:t xml:space="preserve">prendre en considération les </w:t>
      </w:r>
      <w:r w:rsidRPr="006B5310">
        <w:rPr>
          <w:rStyle w:val="Accentuation"/>
        </w:rPr>
        <w:t xml:space="preserve"> recommandations qui seront issu</w:t>
      </w:r>
      <w:r w:rsidR="00C562B7" w:rsidRPr="006B5310">
        <w:rPr>
          <w:rStyle w:val="Accentuation"/>
        </w:rPr>
        <w:t>e</w:t>
      </w:r>
      <w:r w:rsidRPr="006B5310">
        <w:rPr>
          <w:rStyle w:val="Accentuation"/>
        </w:rPr>
        <w:t xml:space="preserve">s du </w:t>
      </w:r>
      <w:r w:rsidR="00997556" w:rsidRPr="006B5310">
        <w:rPr>
          <w:rStyle w:val="Accentuation"/>
        </w:rPr>
        <w:t>B</w:t>
      </w:r>
      <w:r w:rsidRPr="006B5310">
        <w:rPr>
          <w:rStyle w:val="Accentuation"/>
        </w:rPr>
        <w:t>aromètre</w:t>
      </w:r>
      <w:r w:rsidR="00997556" w:rsidRPr="006B5310">
        <w:rPr>
          <w:rStyle w:val="Accentuation"/>
        </w:rPr>
        <w:t xml:space="preserve"> de la diversité</w:t>
      </w:r>
      <w:r w:rsidR="00DC08A6">
        <w:rPr>
          <w:rStyle w:val="Accentuation"/>
        </w:rPr>
        <w:t xml:space="preserve"> Logement</w:t>
      </w:r>
      <w:r w:rsidRPr="006B5310">
        <w:rPr>
          <w:rStyle w:val="Accentuation"/>
        </w:rPr>
        <w:t xml:space="preserve">, en les concrétisant </w:t>
      </w:r>
      <w:r w:rsidR="00C562B7" w:rsidRPr="006B5310">
        <w:rPr>
          <w:rStyle w:val="Accentuation"/>
        </w:rPr>
        <w:t>en</w:t>
      </w:r>
      <w:r w:rsidRPr="006B5310">
        <w:rPr>
          <w:rStyle w:val="Accentuation"/>
        </w:rPr>
        <w:t xml:space="preserve"> mesures politiques, </w:t>
      </w:r>
      <w:r w:rsidR="00C562B7" w:rsidRPr="006B5310">
        <w:rPr>
          <w:rStyle w:val="Accentuation"/>
        </w:rPr>
        <w:t>le cas échéant</w:t>
      </w:r>
      <w:r w:rsidRPr="006B5310">
        <w:rPr>
          <w:rStyle w:val="Accentuation"/>
        </w:rPr>
        <w:t xml:space="preserve"> avec le soutien du Centre.</w:t>
      </w:r>
    </w:p>
    <w:p w:rsidR="00E81D32" w:rsidRDefault="00E81D32" w:rsidP="00AA21B5">
      <w:pPr>
        <w:pStyle w:val="Titre2"/>
        <w:spacing w:before="0"/>
        <w:jc w:val="both"/>
        <w:rPr>
          <w:rFonts w:asciiTheme="minorHAnsi" w:hAnsiTheme="minorHAnsi" w:cstheme="minorHAnsi"/>
          <w:lang w:val="fr-FR"/>
        </w:rPr>
      </w:pPr>
      <w:bookmarkStart w:id="109" w:name="_Toc377028574"/>
    </w:p>
    <w:p w:rsidR="00E4259E" w:rsidRDefault="00E4259E">
      <w:pPr>
        <w:rPr>
          <w:lang w:val="fr-FR"/>
        </w:rPr>
      </w:pPr>
      <w:r>
        <w:rPr>
          <w:lang w:val="fr-FR"/>
        </w:rPr>
        <w:br w:type="page"/>
      </w:r>
    </w:p>
    <w:p w:rsidR="0069265F" w:rsidRPr="00E81D32" w:rsidRDefault="00085A29" w:rsidP="00F15FFE">
      <w:pPr>
        <w:pStyle w:val="Titre2"/>
        <w:ind w:left="0"/>
      </w:pPr>
      <w:bookmarkStart w:id="110" w:name="_Toc377030251"/>
      <w:r w:rsidRPr="00E81D32">
        <w:lastRenderedPageBreak/>
        <w:t>Pour la R</w:t>
      </w:r>
      <w:r w:rsidR="0069265F" w:rsidRPr="00E81D32">
        <w:t>égion wallonne</w:t>
      </w:r>
      <w:r w:rsidR="00E22B60" w:rsidRPr="00E81D32">
        <w:t xml:space="preserve"> : </w:t>
      </w:r>
      <w:r w:rsidRPr="00E81D32">
        <w:t>p</w:t>
      </w:r>
      <w:r w:rsidR="0069265F" w:rsidRPr="00E81D32">
        <w:t>érenniser et donner un cadre au Consortium Diversité-Emploi</w:t>
      </w:r>
      <w:bookmarkEnd w:id="109"/>
      <w:bookmarkEnd w:id="110"/>
    </w:p>
    <w:p w:rsidR="0069660B" w:rsidRPr="00AA21B5" w:rsidRDefault="0069660B" w:rsidP="00AA21B5">
      <w:pPr>
        <w:spacing w:after="0" w:line="240" w:lineRule="auto"/>
        <w:jc w:val="both"/>
        <w:rPr>
          <w:rFonts w:cstheme="minorHAnsi"/>
          <w:lang w:val="fr-FR"/>
        </w:rPr>
      </w:pPr>
    </w:p>
    <w:p w:rsidR="0069265F" w:rsidRPr="00AA21B5" w:rsidRDefault="00545AF2" w:rsidP="00545AF2">
      <w:pPr>
        <w:spacing w:after="0"/>
        <w:jc w:val="both"/>
        <w:rPr>
          <w:lang w:val="fr-FR"/>
        </w:rPr>
      </w:pPr>
      <w:r>
        <w:rPr>
          <w:lang w:val="fr-FR"/>
        </w:rPr>
        <w:t>L’objectif est de r</w:t>
      </w:r>
      <w:r w:rsidR="0069265F" w:rsidRPr="00AA21B5">
        <w:rPr>
          <w:lang w:val="fr-FR"/>
        </w:rPr>
        <w:t>enforcer l’action du C</w:t>
      </w:r>
      <w:r w:rsidR="00085A29" w:rsidRPr="00AA21B5">
        <w:rPr>
          <w:lang w:val="fr-FR"/>
        </w:rPr>
        <w:t>onsortium Diversité Wallonie.</w:t>
      </w:r>
      <w:r>
        <w:rPr>
          <w:lang w:val="fr-FR"/>
        </w:rPr>
        <w:t xml:space="preserve"> C</w:t>
      </w:r>
      <w:r w:rsidR="0069265F" w:rsidRPr="00AA21B5">
        <w:rPr>
          <w:lang w:val="fr-FR"/>
        </w:rPr>
        <w:t xml:space="preserve">e Consortium est composé du </w:t>
      </w:r>
      <w:proofErr w:type="spellStart"/>
      <w:r w:rsidR="0069265F" w:rsidRPr="00AA21B5">
        <w:rPr>
          <w:lang w:val="fr-FR"/>
        </w:rPr>
        <w:t>Cripel</w:t>
      </w:r>
      <w:proofErr w:type="spellEnd"/>
      <w:r w:rsidR="0069265F" w:rsidRPr="00AA21B5">
        <w:rPr>
          <w:lang w:val="fr-FR"/>
        </w:rPr>
        <w:t>, de l’</w:t>
      </w:r>
      <w:proofErr w:type="spellStart"/>
      <w:r w:rsidR="0069265F" w:rsidRPr="00AA21B5">
        <w:rPr>
          <w:lang w:val="fr-FR"/>
        </w:rPr>
        <w:t>Egid</w:t>
      </w:r>
      <w:proofErr w:type="spellEnd"/>
      <w:r w:rsidR="0069265F" w:rsidRPr="00AA21B5">
        <w:rPr>
          <w:lang w:val="fr-FR"/>
        </w:rPr>
        <w:t xml:space="preserve">-HEC </w:t>
      </w:r>
      <w:proofErr w:type="spellStart"/>
      <w:r w:rsidR="0069265F" w:rsidRPr="00AA21B5">
        <w:rPr>
          <w:lang w:val="fr-FR"/>
        </w:rPr>
        <w:t>ULg</w:t>
      </w:r>
      <w:proofErr w:type="spellEnd"/>
      <w:r w:rsidR="0069265F" w:rsidRPr="00AA21B5">
        <w:rPr>
          <w:lang w:val="fr-FR"/>
        </w:rPr>
        <w:t xml:space="preserve">, du </w:t>
      </w:r>
      <w:proofErr w:type="spellStart"/>
      <w:r w:rsidR="0069265F" w:rsidRPr="00AA21B5">
        <w:rPr>
          <w:lang w:val="fr-FR"/>
        </w:rPr>
        <w:t>Forem</w:t>
      </w:r>
      <w:proofErr w:type="spellEnd"/>
      <w:r w:rsidR="0069265F" w:rsidRPr="00AA21B5">
        <w:rPr>
          <w:lang w:val="fr-FR"/>
        </w:rPr>
        <w:t xml:space="preserve"> et des cellules de lutte contre les discriminations des syndicats FGTB et CSC</w:t>
      </w:r>
      <w:r w:rsidR="0030659A">
        <w:rPr>
          <w:lang w:val="fr-FR"/>
        </w:rPr>
        <w:t xml:space="preserve">. Il </w:t>
      </w:r>
      <w:r w:rsidR="0069265F" w:rsidRPr="00AA21B5">
        <w:rPr>
          <w:lang w:val="fr-FR"/>
        </w:rPr>
        <w:t xml:space="preserve"> développe de nombreuses actions d’information, de sensibilisation et de formation tendant à lutter contre toutes les formes de discriminations et à promouvoir un management de la diversité dans le monde du travail. Il bénéficie de subsides octroyés par le ministre </w:t>
      </w:r>
      <w:r w:rsidR="00F61078" w:rsidRPr="00AA21B5">
        <w:rPr>
          <w:lang w:val="fr-FR"/>
        </w:rPr>
        <w:t xml:space="preserve">wallon </w:t>
      </w:r>
      <w:r w:rsidR="0069265F" w:rsidRPr="00AA21B5">
        <w:rPr>
          <w:lang w:val="fr-FR"/>
        </w:rPr>
        <w:t xml:space="preserve">de l’Emploi.  </w:t>
      </w:r>
    </w:p>
    <w:p w:rsidR="00E81D32" w:rsidRDefault="00E81D32" w:rsidP="00545AF2">
      <w:pPr>
        <w:spacing w:after="0" w:line="240" w:lineRule="auto"/>
        <w:jc w:val="both"/>
        <w:rPr>
          <w:rFonts w:cstheme="minorHAnsi"/>
          <w:b/>
          <w:lang w:val="fr-FR"/>
        </w:rPr>
      </w:pPr>
    </w:p>
    <w:p w:rsidR="006B5310" w:rsidRPr="00AA21B5" w:rsidRDefault="0069265F" w:rsidP="00545AF2">
      <w:pPr>
        <w:spacing w:after="0"/>
        <w:jc w:val="both"/>
        <w:rPr>
          <w:rFonts w:cstheme="minorHAnsi"/>
          <w:lang w:val="fr-FR"/>
        </w:rPr>
      </w:pPr>
      <w:r w:rsidRPr="00AA21B5">
        <w:rPr>
          <w:lang w:val="fr-FR"/>
        </w:rPr>
        <w:t xml:space="preserve">Si la qualité des actions engagées </w:t>
      </w:r>
      <w:r w:rsidR="00A0556E" w:rsidRPr="00AA21B5">
        <w:rPr>
          <w:lang w:val="fr-FR"/>
        </w:rPr>
        <w:t>a</w:t>
      </w:r>
      <w:r w:rsidRPr="00AA21B5">
        <w:rPr>
          <w:lang w:val="fr-FR"/>
        </w:rPr>
        <w:t xml:space="preserve"> démontré l’utilité du consortium, elles démontrent aussi l’urgence et la nécessité de lui donner une plus grande visibilité et légitimité auprès des acteurs privés et publics du marché du travail.</w:t>
      </w:r>
    </w:p>
    <w:p w:rsidR="00E81D32" w:rsidRDefault="00E81D32" w:rsidP="00AA21B5">
      <w:pPr>
        <w:spacing w:after="0" w:line="240" w:lineRule="auto"/>
        <w:jc w:val="both"/>
        <w:rPr>
          <w:rFonts w:cstheme="minorHAnsi"/>
          <w:lang w:val="fr-FR"/>
        </w:rPr>
      </w:pPr>
    </w:p>
    <w:p w:rsidR="00E81D32" w:rsidRDefault="0069265F" w:rsidP="00051B18">
      <w:pPr>
        <w:pStyle w:val="Citationintense"/>
        <w:rPr>
          <w:rStyle w:val="Accentuation"/>
        </w:rPr>
      </w:pPr>
      <w:r w:rsidRPr="006B5310">
        <w:rPr>
          <w:rStyle w:val="Accentuation"/>
        </w:rPr>
        <w:t>Le Centre plaide pour que le gouvernement wallon donne un cadre fixe et pérenne au Consortium Diversité Wallonie afin de renforcer sa visibilité et sa légitimité auprès des acteurs du marché de l’emploi.</w:t>
      </w:r>
      <w:bookmarkStart w:id="111" w:name="_Toc377028575"/>
    </w:p>
    <w:p w:rsidR="00545AF2" w:rsidRPr="00545AF2" w:rsidRDefault="00545AF2" w:rsidP="00545AF2">
      <w:pPr>
        <w:spacing w:after="0"/>
      </w:pPr>
    </w:p>
    <w:p w:rsidR="00085A29" w:rsidRPr="00F15FFE" w:rsidRDefault="00085A29" w:rsidP="00545AF2">
      <w:pPr>
        <w:pStyle w:val="Titre2"/>
        <w:spacing w:before="0" w:after="0"/>
        <w:ind w:left="0"/>
      </w:pPr>
      <w:bookmarkStart w:id="112" w:name="_Toc377030252"/>
      <w:r w:rsidRPr="00F15FFE">
        <w:t>Politiques d’intégration</w:t>
      </w:r>
      <w:bookmarkEnd w:id="111"/>
      <w:bookmarkEnd w:id="112"/>
    </w:p>
    <w:p w:rsidR="0069660B" w:rsidRPr="00AA21B5" w:rsidRDefault="0069660B" w:rsidP="00545AF2">
      <w:pPr>
        <w:spacing w:after="0"/>
        <w:jc w:val="both"/>
        <w:rPr>
          <w:lang w:val="fr-FR"/>
        </w:rPr>
      </w:pPr>
    </w:p>
    <w:p w:rsidR="00A66CB5" w:rsidRPr="00AA21B5" w:rsidRDefault="00545AF2" w:rsidP="00545AF2">
      <w:pPr>
        <w:spacing w:after="0"/>
        <w:jc w:val="both"/>
        <w:rPr>
          <w:lang w:val="fr-FR"/>
        </w:rPr>
      </w:pPr>
      <w:r>
        <w:rPr>
          <w:lang w:val="fr-FR"/>
        </w:rPr>
        <w:t>L’objectif est d’i</w:t>
      </w:r>
      <w:r w:rsidR="00A66CB5" w:rsidRPr="00AA21B5">
        <w:rPr>
          <w:lang w:val="fr-FR"/>
        </w:rPr>
        <w:t>ntégrer les questions de racisme et de discrimination dans les parcours d’accueil mis en place récemment par la Région wallonne et la Commission Communautaire française.</w:t>
      </w:r>
    </w:p>
    <w:p w:rsidR="00545AF2" w:rsidRDefault="00545AF2" w:rsidP="00545AF2">
      <w:pPr>
        <w:spacing w:after="0"/>
        <w:jc w:val="both"/>
        <w:rPr>
          <w:lang w:val="fr-FR"/>
        </w:rPr>
      </w:pPr>
    </w:p>
    <w:p w:rsidR="00F15FFE" w:rsidRDefault="00A66CB5" w:rsidP="00545AF2">
      <w:pPr>
        <w:spacing w:after="0"/>
        <w:jc w:val="both"/>
        <w:rPr>
          <w:lang w:val="fr-FR"/>
        </w:rPr>
      </w:pPr>
      <w:r w:rsidRPr="00AA21B5">
        <w:rPr>
          <w:lang w:val="fr-FR"/>
        </w:rPr>
        <w:t>La Région wallonne et la Commission Communautaire française se sont dotées d’un Parcours d’accueil et d’intégration des Primo-arrivants.  Ce dispositif prévoit un accompagnement visant à la fois l’intégration sociale des personnes et leur insertion professionnelle. </w:t>
      </w:r>
      <w:r w:rsidR="000D2BFC" w:rsidRPr="00AA21B5">
        <w:rPr>
          <w:lang w:val="fr-FR"/>
        </w:rPr>
        <w:t xml:space="preserve">Il </w:t>
      </w:r>
      <w:r w:rsidRPr="00AA21B5">
        <w:rPr>
          <w:lang w:val="fr-FR"/>
        </w:rPr>
        <w:t xml:space="preserve"> devrait viser en priorité les personnes</w:t>
      </w:r>
      <w:r w:rsidR="000D2BFC" w:rsidRPr="00AA21B5">
        <w:rPr>
          <w:lang w:val="fr-FR"/>
        </w:rPr>
        <w:t xml:space="preserve">  nouvellement </w:t>
      </w:r>
      <w:r w:rsidRPr="00AA21B5">
        <w:rPr>
          <w:lang w:val="fr-FR"/>
        </w:rPr>
        <w:t>arrivée</w:t>
      </w:r>
      <w:r w:rsidR="000D2BFC" w:rsidRPr="00AA21B5">
        <w:rPr>
          <w:lang w:val="fr-FR"/>
        </w:rPr>
        <w:t>s</w:t>
      </w:r>
      <w:r w:rsidRPr="00AA21B5">
        <w:rPr>
          <w:lang w:val="fr-FR"/>
        </w:rPr>
        <w:t xml:space="preserve"> sur le territoire sans pour autant exclure celles et ceux qui rencontrent des difficultés compte tenu de leur origine étrangère. </w:t>
      </w:r>
    </w:p>
    <w:p w:rsidR="00545AF2" w:rsidRDefault="00545AF2" w:rsidP="00545AF2">
      <w:pPr>
        <w:spacing w:after="0"/>
        <w:jc w:val="both"/>
        <w:rPr>
          <w:lang w:val="fr-FR"/>
        </w:rPr>
      </w:pPr>
    </w:p>
    <w:p w:rsidR="00A66CB5" w:rsidRPr="006B5310" w:rsidRDefault="00A66CB5" w:rsidP="00051B18">
      <w:pPr>
        <w:pStyle w:val="Citationintense"/>
        <w:rPr>
          <w:rStyle w:val="Accentuation"/>
        </w:rPr>
      </w:pPr>
      <w:r w:rsidRPr="006B5310">
        <w:rPr>
          <w:rStyle w:val="Accentuation"/>
        </w:rPr>
        <w:t>Le Centre plaide pour qu’une information relative aux organismes compétents pour accompagner les victimes de discrimination et ou de racisme soit dispensée aux primo-arrivants pris en charge par le dispositif.  Cette information pourrait prendre place au cours du premier contact d’accueil.</w:t>
      </w:r>
    </w:p>
    <w:p w:rsidR="00A66CB5" w:rsidRPr="006B5310" w:rsidRDefault="00A66CB5" w:rsidP="00051B18">
      <w:pPr>
        <w:pStyle w:val="Citationintense"/>
        <w:rPr>
          <w:rStyle w:val="Accentuation"/>
        </w:rPr>
      </w:pPr>
      <w:r w:rsidRPr="006B5310">
        <w:rPr>
          <w:rStyle w:val="Accentuation"/>
        </w:rPr>
        <w:t xml:space="preserve">Par ailleurs, les professionnels qui demain recevront ces personnes dans le cadre du Parcours d’accueil devraient être informés sur le cadre législatif antidiscrimination en vigueur et sur l’aide qu’ils sont en droit d’attendre des organismes compétents en matière de lutte contre la discrimination et le racisme. </w:t>
      </w:r>
    </w:p>
    <w:p w:rsidR="002512B8" w:rsidRDefault="002512B8">
      <w:pPr>
        <w:rPr>
          <w:rFonts w:asciiTheme="majorHAnsi" w:eastAsiaTheme="majorEastAsia" w:hAnsiTheme="majorHAnsi" w:cstheme="majorBidi"/>
          <w:smallCaps/>
          <w:color w:val="0F243E" w:themeColor="text2" w:themeShade="7F"/>
          <w:spacing w:val="20"/>
          <w:sz w:val="32"/>
          <w:szCs w:val="32"/>
        </w:rPr>
      </w:pPr>
      <w:bookmarkStart w:id="113" w:name="_Toc377028576"/>
      <w:bookmarkStart w:id="114" w:name="_Toc377030253"/>
      <w:r>
        <w:br w:type="page"/>
      </w:r>
    </w:p>
    <w:p w:rsidR="0069265F" w:rsidRPr="00E81D32" w:rsidRDefault="0069265F" w:rsidP="006B5310">
      <w:pPr>
        <w:pStyle w:val="Titre1"/>
        <w:ind w:left="0"/>
      </w:pPr>
      <w:r w:rsidRPr="00E81D32">
        <w:lastRenderedPageBreak/>
        <w:t>Politiques locales</w:t>
      </w:r>
      <w:bookmarkEnd w:id="113"/>
      <w:bookmarkEnd w:id="114"/>
    </w:p>
    <w:p w:rsidR="0069265F" w:rsidRPr="00AA21B5" w:rsidRDefault="0069265F" w:rsidP="00AA21B5">
      <w:pPr>
        <w:spacing w:after="0" w:line="240" w:lineRule="auto"/>
        <w:jc w:val="both"/>
        <w:rPr>
          <w:rFonts w:cstheme="minorHAnsi"/>
          <w:lang w:val="fr-FR"/>
        </w:rPr>
      </w:pPr>
    </w:p>
    <w:p w:rsidR="0069265F" w:rsidRPr="00E81D32" w:rsidRDefault="0069265F" w:rsidP="006B5310">
      <w:pPr>
        <w:pStyle w:val="Titre2"/>
        <w:ind w:left="0"/>
      </w:pPr>
      <w:bookmarkStart w:id="115" w:name="_Toc377028577"/>
      <w:bookmarkStart w:id="116" w:name="_Toc377030254"/>
      <w:r w:rsidRPr="00E81D32">
        <w:t>Impliquer structurellement les pouvoirs locaux dans un processus de formation à la lutte contre les discriminations</w:t>
      </w:r>
      <w:bookmarkEnd w:id="115"/>
      <w:bookmarkEnd w:id="116"/>
    </w:p>
    <w:p w:rsidR="0069660B" w:rsidRPr="00AA21B5" w:rsidRDefault="0069660B" w:rsidP="00AA21B5">
      <w:pPr>
        <w:spacing w:after="0" w:line="240" w:lineRule="auto"/>
        <w:jc w:val="both"/>
        <w:rPr>
          <w:rFonts w:cstheme="minorHAnsi"/>
          <w:lang w:val="fr-FR"/>
        </w:rPr>
      </w:pPr>
    </w:p>
    <w:p w:rsidR="0069265F" w:rsidRDefault="0069265F" w:rsidP="00794103">
      <w:pPr>
        <w:jc w:val="both"/>
        <w:rPr>
          <w:lang w:val="fr-FR"/>
        </w:rPr>
      </w:pPr>
      <w:r w:rsidRPr="00AA21B5">
        <w:rPr>
          <w:lang w:val="fr-FR"/>
        </w:rPr>
        <w:t xml:space="preserve">Les pouvoirs locaux sont des acteurs incontournables dans l’implémentation des politiques de lutte contre la discrimination et de promotion de l’égalité. Leur proximité avec les citoyens, leurs compétences touchant directement la population, leurs services rendus au quotidien en font un terrain de prédilection pour identifier les discriminations, informer, orienter ou accompagner les personnes qui s’en sentent victimes. </w:t>
      </w:r>
    </w:p>
    <w:p w:rsidR="006B5310" w:rsidRDefault="0069265F" w:rsidP="00545AF2">
      <w:pPr>
        <w:jc w:val="both"/>
        <w:rPr>
          <w:rFonts w:cstheme="minorHAnsi"/>
          <w:lang w:val="fr-FR"/>
        </w:rPr>
      </w:pPr>
      <w:r w:rsidRPr="00AA21B5">
        <w:rPr>
          <w:lang w:val="fr-FR"/>
        </w:rPr>
        <w:t>Pour le Centre, mener à bien</w:t>
      </w:r>
      <w:r w:rsidR="007B6A11" w:rsidRPr="00AA21B5">
        <w:rPr>
          <w:lang w:val="fr-FR"/>
        </w:rPr>
        <w:t xml:space="preserve"> cette tâche</w:t>
      </w:r>
      <w:r w:rsidRPr="00AA21B5">
        <w:rPr>
          <w:lang w:val="fr-FR"/>
        </w:rPr>
        <w:t xml:space="preserve"> implique d’assurer la préparation des acteurs (notamment des élu-e-s) afin de les rendre conscients des enjeux de la diversité. Par ailleurs, permettre aux agents-e-s d’être </w:t>
      </w:r>
      <w:r w:rsidR="00375523" w:rsidRPr="00AA21B5">
        <w:rPr>
          <w:lang w:val="fr-FR"/>
        </w:rPr>
        <w:t>formé-e</w:t>
      </w:r>
      <w:r w:rsidR="00375523">
        <w:rPr>
          <w:lang w:val="fr-FR"/>
        </w:rPr>
        <w:t>-</w:t>
      </w:r>
      <w:r w:rsidR="00375523" w:rsidRPr="00AA21B5">
        <w:rPr>
          <w:lang w:val="fr-FR"/>
        </w:rPr>
        <w:t>s</w:t>
      </w:r>
      <w:r w:rsidRPr="00AA21B5">
        <w:rPr>
          <w:lang w:val="fr-FR"/>
        </w:rPr>
        <w:t xml:space="preserve"> et mieux outillé-e-s pour faire face aux besoins du public permet de prévenir des situations et des comportements discriminatoires.</w:t>
      </w:r>
    </w:p>
    <w:p w:rsidR="00E81D32" w:rsidRPr="00AA21B5" w:rsidRDefault="00E81D32" w:rsidP="00AA21B5">
      <w:pPr>
        <w:spacing w:after="0" w:line="240" w:lineRule="auto"/>
        <w:jc w:val="both"/>
        <w:rPr>
          <w:rFonts w:cstheme="minorHAnsi"/>
          <w:lang w:val="fr-FR"/>
        </w:rPr>
      </w:pPr>
    </w:p>
    <w:p w:rsidR="00085A29" w:rsidRPr="006B5310" w:rsidRDefault="00051B18" w:rsidP="00051B18">
      <w:pPr>
        <w:pStyle w:val="Citationintense"/>
        <w:rPr>
          <w:rStyle w:val="Accentuation"/>
        </w:rPr>
      </w:pPr>
      <w:r>
        <w:rPr>
          <w:rStyle w:val="Accentuation"/>
        </w:rPr>
        <w:t>L</w:t>
      </w:r>
      <w:r w:rsidR="0069265F" w:rsidRPr="006B5310">
        <w:rPr>
          <w:rStyle w:val="Accentuation"/>
        </w:rPr>
        <w:t>e C</w:t>
      </w:r>
      <w:r w:rsidR="00DC08A6">
        <w:rPr>
          <w:rStyle w:val="Accentuation"/>
        </w:rPr>
        <w:t>entre encourage l’ensemble des R</w:t>
      </w:r>
      <w:r w:rsidR="0069265F" w:rsidRPr="006B5310">
        <w:rPr>
          <w:rStyle w:val="Accentuation"/>
        </w:rPr>
        <w:t>égions à organiser structurellement la formation des</w:t>
      </w:r>
      <w:r>
        <w:rPr>
          <w:rStyle w:val="Accentuation"/>
        </w:rPr>
        <w:t xml:space="preserve"> </w:t>
      </w:r>
      <w:r w:rsidR="0069265F" w:rsidRPr="006B5310">
        <w:rPr>
          <w:rStyle w:val="Accentuation"/>
        </w:rPr>
        <w:t>acteurs locaux à la lutte contre les di</w:t>
      </w:r>
      <w:r w:rsidR="00085A29" w:rsidRPr="006B5310">
        <w:rPr>
          <w:rStyle w:val="Accentuation"/>
        </w:rPr>
        <w:t>scriminations.</w:t>
      </w:r>
    </w:p>
    <w:p w:rsidR="00E81D32" w:rsidRDefault="00E81D32" w:rsidP="00AA21B5">
      <w:pPr>
        <w:spacing w:after="0" w:line="240" w:lineRule="auto"/>
        <w:jc w:val="both"/>
        <w:rPr>
          <w:rFonts w:cstheme="minorHAnsi"/>
          <w:lang w:val="fr-FR"/>
        </w:rPr>
      </w:pPr>
    </w:p>
    <w:p w:rsidR="0069265F" w:rsidRDefault="0069265F" w:rsidP="00794103">
      <w:pPr>
        <w:jc w:val="both"/>
        <w:rPr>
          <w:lang w:val="fr-FR"/>
        </w:rPr>
      </w:pPr>
      <w:r w:rsidRPr="00AA21B5">
        <w:rPr>
          <w:lang w:val="fr-FR"/>
        </w:rPr>
        <w:t xml:space="preserve">Plus </w:t>
      </w:r>
      <w:r w:rsidR="00A0556E" w:rsidRPr="00AA21B5">
        <w:rPr>
          <w:lang w:val="fr-FR"/>
        </w:rPr>
        <w:t>précisément,</w:t>
      </w:r>
      <w:r w:rsidRPr="00AA21B5">
        <w:rPr>
          <w:lang w:val="fr-FR"/>
        </w:rPr>
        <w:t xml:space="preserve"> pour le Centre, il y</w:t>
      </w:r>
      <w:r w:rsidR="007B6A11" w:rsidRPr="00AA21B5">
        <w:rPr>
          <w:lang w:val="fr-FR"/>
        </w:rPr>
        <w:t xml:space="preserve"> a</w:t>
      </w:r>
      <w:r w:rsidRPr="00AA21B5">
        <w:rPr>
          <w:lang w:val="fr-FR"/>
        </w:rPr>
        <w:t xml:space="preserve"> lieu :</w:t>
      </w:r>
    </w:p>
    <w:p w:rsidR="0069265F" w:rsidRPr="00794103" w:rsidRDefault="007B6A11" w:rsidP="00794103">
      <w:pPr>
        <w:pStyle w:val="Paragraphedeliste"/>
        <w:numPr>
          <w:ilvl w:val="0"/>
          <w:numId w:val="26"/>
        </w:numPr>
        <w:jc w:val="both"/>
        <w:rPr>
          <w:lang w:val="fr-FR"/>
        </w:rPr>
      </w:pPr>
      <w:r w:rsidRPr="00794103">
        <w:rPr>
          <w:lang w:val="fr-FR"/>
        </w:rPr>
        <w:t>d</w:t>
      </w:r>
      <w:r w:rsidR="0069265F" w:rsidRPr="00794103">
        <w:rPr>
          <w:lang w:val="fr-FR"/>
        </w:rPr>
        <w:t xml:space="preserve">’inclure dans le programme de formation des mandataires locaux </w:t>
      </w:r>
      <w:r w:rsidR="00A0556E" w:rsidRPr="00794103">
        <w:rPr>
          <w:lang w:val="fr-FR"/>
        </w:rPr>
        <w:t>(«</w:t>
      </w:r>
      <w:r w:rsidR="0069265F" w:rsidRPr="00794103">
        <w:rPr>
          <w:lang w:val="fr-FR"/>
        </w:rPr>
        <w:t> e-mandat »…), un volet relatif à la lutte contre les discriminations et à la promotion de la diversité</w:t>
      </w:r>
      <w:r w:rsidRPr="00794103">
        <w:rPr>
          <w:lang w:val="fr-FR"/>
        </w:rPr>
        <w:t> ;</w:t>
      </w:r>
    </w:p>
    <w:p w:rsidR="0069265F" w:rsidRPr="00794103" w:rsidRDefault="007B6A11" w:rsidP="00794103">
      <w:pPr>
        <w:pStyle w:val="Paragraphedeliste"/>
        <w:numPr>
          <w:ilvl w:val="0"/>
          <w:numId w:val="26"/>
        </w:numPr>
        <w:jc w:val="both"/>
        <w:rPr>
          <w:lang w:val="fr-FR"/>
        </w:rPr>
      </w:pPr>
      <w:r w:rsidRPr="00794103">
        <w:rPr>
          <w:lang w:val="fr-FR"/>
        </w:rPr>
        <w:t>d</w:t>
      </w:r>
      <w:r w:rsidR="0069265F" w:rsidRPr="00794103">
        <w:rPr>
          <w:lang w:val="fr-FR"/>
        </w:rPr>
        <w:t>’initier structurellement au sein du programme de formation des écoles d’administration publique de chaque entité, une formation relative à la lutte contre les discriminations à la promotion de la diversité</w:t>
      </w:r>
      <w:r w:rsidRPr="00794103">
        <w:rPr>
          <w:lang w:val="fr-FR"/>
        </w:rPr>
        <w:t>.</w:t>
      </w:r>
    </w:p>
    <w:p w:rsidR="00100B51" w:rsidRDefault="00100B51" w:rsidP="00100B51">
      <w:pPr>
        <w:spacing w:after="0" w:line="240" w:lineRule="auto"/>
        <w:jc w:val="both"/>
        <w:rPr>
          <w:rFonts w:cstheme="minorHAnsi"/>
          <w:lang w:val="fr-FR"/>
        </w:rPr>
      </w:pPr>
    </w:p>
    <w:p w:rsidR="00100B51" w:rsidRDefault="00100B51" w:rsidP="00100B51">
      <w:pPr>
        <w:spacing w:after="0" w:line="240" w:lineRule="auto"/>
        <w:jc w:val="both"/>
        <w:rPr>
          <w:rFonts w:cstheme="minorHAnsi"/>
          <w:lang w:val="fr-FR"/>
        </w:rPr>
      </w:pPr>
    </w:p>
    <w:p w:rsidR="00100B51" w:rsidRDefault="00100B51" w:rsidP="00100B51">
      <w:pPr>
        <w:spacing w:after="0" w:line="240" w:lineRule="auto"/>
        <w:jc w:val="both"/>
        <w:rPr>
          <w:rFonts w:cstheme="minorHAnsi"/>
          <w:lang w:val="fr-FR"/>
        </w:rPr>
      </w:pPr>
    </w:p>
    <w:p w:rsidR="00100B51" w:rsidRDefault="00100B51" w:rsidP="00100B51">
      <w:pPr>
        <w:spacing w:after="0" w:line="240" w:lineRule="auto"/>
        <w:jc w:val="both"/>
        <w:rPr>
          <w:rFonts w:cstheme="minorHAnsi"/>
          <w:lang w:val="fr-FR"/>
        </w:rPr>
      </w:pPr>
    </w:p>
    <w:p w:rsidR="00100B51" w:rsidRDefault="00100B51" w:rsidP="00100B51">
      <w:pPr>
        <w:spacing w:after="0" w:line="240" w:lineRule="auto"/>
        <w:jc w:val="both"/>
        <w:rPr>
          <w:rFonts w:cstheme="minorHAnsi"/>
          <w:lang w:val="fr-FR"/>
        </w:rPr>
      </w:pPr>
    </w:p>
    <w:p w:rsidR="00100B51" w:rsidRDefault="00100B51" w:rsidP="00100B51">
      <w:pPr>
        <w:spacing w:after="0" w:line="240" w:lineRule="auto"/>
        <w:jc w:val="both"/>
        <w:rPr>
          <w:rFonts w:cstheme="minorHAnsi"/>
          <w:lang w:val="fr-FR"/>
        </w:rPr>
      </w:pPr>
    </w:p>
    <w:p w:rsidR="00100B51" w:rsidRPr="00794103" w:rsidRDefault="00100B51" w:rsidP="006B5310">
      <w:pPr>
        <w:spacing w:after="0" w:line="240" w:lineRule="auto"/>
        <w:ind w:left="0"/>
        <w:jc w:val="both"/>
        <w:rPr>
          <w:rFonts w:ascii="Arial Narrow" w:hAnsi="Arial Narrow" w:cstheme="minorHAnsi"/>
          <w:sz w:val="28"/>
          <w:szCs w:val="28"/>
          <w:lang w:val="fr-FR"/>
        </w:rPr>
      </w:pPr>
      <w:r w:rsidRPr="00794103">
        <w:rPr>
          <w:rFonts w:ascii="Arial Narrow" w:hAnsi="Arial Narrow" w:cstheme="minorHAnsi"/>
          <w:sz w:val="28"/>
          <w:szCs w:val="28"/>
          <w:lang w:val="fr-FR"/>
        </w:rPr>
        <w:t>Centre pour l'égalité des chances et la lutte contre le racisme</w:t>
      </w:r>
    </w:p>
    <w:p w:rsidR="00100B51" w:rsidRPr="00794103" w:rsidRDefault="00100B51" w:rsidP="006B5310">
      <w:pPr>
        <w:spacing w:after="0" w:line="240" w:lineRule="auto"/>
        <w:ind w:left="0"/>
        <w:jc w:val="both"/>
        <w:rPr>
          <w:rFonts w:ascii="Arial Narrow" w:hAnsi="Arial Narrow" w:cstheme="minorHAnsi"/>
          <w:sz w:val="28"/>
          <w:szCs w:val="28"/>
          <w:lang w:val="fr-FR"/>
        </w:rPr>
      </w:pPr>
      <w:r w:rsidRPr="00794103">
        <w:rPr>
          <w:rFonts w:ascii="Arial Narrow" w:hAnsi="Arial Narrow" w:cstheme="minorHAnsi"/>
          <w:sz w:val="28"/>
          <w:szCs w:val="28"/>
          <w:lang w:val="fr-FR"/>
        </w:rPr>
        <w:t>138 rue Royale</w:t>
      </w:r>
    </w:p>
    <w:p w:rsidR="00100B51" w:rsidRPr="00794103" w:rsidRDefault="00100B51" w:rsidP="006B5310">
      <w:pPr>
        <w:spacing w:after="0" w:line="240" w:lineRule="auto"/>
        <w:ind w:left="0"/>
        <w:jc w:val="both"/>
        <w:rPr>
          <w:rFonts w:ascii="Arial Narrow" w:hAnsi="Arial Narrow" w:cstheme="minorHAnsi"/>
          <w:sz w:val="28"/>
          <w:szCs w:val="28"/>
          <w:lang w:val="fr-FR"/>
        </w:rPr>
      </w:pPr>
      <w:r w:rsidRPr="00794103">
        <w:rPr>
          <w:rFonts w:ascii="Arial Narrow" w:hAnsi="Arial Narrow" w:cstheme="minorHAnsi"/>
          <w:sz w:val="28"/>
          <w:szCs w:val="28"/>
          <w:lang w:val="fr-FR"/>
        </w:rPr>
        <w:t>1000 Bruxelles</w:t>
      </w:r>
    </w:p>
    <w:p w:rsidR="00100B51" w:rsidRPr="00794103" w:rsidRDefault="00100B51" w:rsidP="006B5310">
      <w:pPr>
        <w:spacing w:after="0" w:line="240" w:lineRule="auto"/>
        <w:ind w:left="0"/>
        <w:jc w:val="both"/>
        <w:rPr>
          <w:rFonts w:ascii="Arial Narrow" w:hAnsi="Arial Narrow" w:cstheme="minorHAnsi"/>
          <w:sz w:val="28"/>
          <w:szCs w:val="28"/>
          <w:lang w:val="fr-FR"/>
        </w:rPr>
      </w:pPr>
      <w:r w:rsidRPr="00794103">
        <w:rPr>
          <w:rFonts w:ascii="Arial Narrow" w:hAnsi="Arial Narrow" w:cstheme="minorHAnsi"/>
          <w:sz w:val="28"/>
          <w:szCs w:val="28"/>
          <w:lang w:val="fr-FR"/>
        </w:rPr>
        <w:t>02 212 30 00</w:t>
      </w:r>
    </w:p>
    <w:p w:rsidR="00100B51" w:rsidRPr="00794103" w:rsidRDefault="00100B51" w:rsidP="006B5310">
      <w:pPr>
        <w:spacing w:after="0" w:line="240" w:lineRule="auto"/>
        <w:ind w:left="0"/>
        <w:jc w:val="both"/>
        <w:rPr>
          <w:rFonts w:ascii="Arial Narrow" w:hAnsi="Arial Narrow" w:cstheme="minorHAnsi"/>
          <w:sz w:val="28"/>
          <w:szCs w:val="28"/>
          <w:lang w:val="fr-FR"/>
        </w:rPr>
      </w:pPr>
      <w:r w:rsidRPr="00794103">
        <w:rPr>
          <w:rFonts w:ascii="Arial Narrow" w:hAnsi="Arial Narrow" w:cstheme="minorHAnsi"/>
          <w:sz w:val="28"/>
          <w:szCs w:val="28"/>
          <w:lang w:val="fr-FR"/>
        </w:rPr>
        <w:t>epost@cntr.be.</w:t>
      </w:r>
    </w:p>
    <w:p w:rsidR="00100B51" w:rsidRDefault="003E53DE" w:rsidP="006B5310">
      <w:pPr>
        <w:spacing w:after="0" w:line="240" w:lineRule="auto"/>
        <w:ind w:left="0"/>
        <w:jc w:val="both"/>
        <w:rPr>
          <w:rStyle w:val="Lienhypertexte"/>
          <w:rFonts w:cstheme="minorHAnsi"/>
          <w:sz w:val="28"/>
          <w:szCs w:val="28"/>
          <w:lang w:val="fr-FR"/>
        </w:rPr>
      </w:pPr>
      <w:hyperlink r:id="rId15" w:history="1">
        <w:r w:rsidR="00100B51" w:rsidRPr="00794103">
          <w:rPr>
            <w:rStyle w:val="Lienhypertexte"/>
            <w:rFonts w:cstheme="minorHAnsi"/>
            <w:sz w:val="28"/>
            <w:szCs w:val="28"/>
            <w:lang w:val="fr-FR"/>
          </w:rPr>
          <w:t>www.diversite.be</w:t>
        </w:r>
      </w:hyperlink>
    </w:p>
    <w:p w:rsidR="000D1728" w:rsidRDefault="000D1728" w:rsidP="006B5310">
      <w:pPr>
        <w:spacing w:after="0" w:line="240" w:lineRule="auto"/>
        <w:ind w:left="0"/>
        <w:jc w:val="both"/>
        <w:rPr>
          <w:rStyle w:val="Lienhypertexte"/>
          <w:rFonts w:cstheme="minorHAnsi"/>
          <w:sz w:val="28"/>
          <w:szCs w:val="28"/>
          <w:lang w:val="fr-FR"/>
        </w:rPr>
      </w:pPr>
    </w:p>
    <w:p w:rsidR="000D1728" w:rsidRPr="000D1728" w:rsidRDefault="000D1728" w:rsidP="006B5310">
      <w:pPr>
        <w:spacing w:after="0" w:line="240" w:lineRule="auto"/>
        <w:ind w:left="0"/>
        <w:jc w:val="both"/>
        <w:rPr>
          <w:rFonts w:ascii="Arial Narrow" w:hAnsi="Arial Narrow" w:cstheme="minorHAnsi"/>
          <w:color w:val="auto"/>
          <w:sz w:val="28"/>
          <w:szCs w:val="28"/>
          <w:lang w:val="fr-FR"/>
        </w:rPr>
      </w:pPr>
      <w:r w:rsidRPr="000D1728">
        <w:rPr>
          <w:rStyle w:val="Lienhypertexte"/>
          <w:rFonts w:ascii="Arial Narrow" w:hAnsi="Arial Narrow" w:cstheme="minorHAnsi"/>
          <w:color w:val="auto"/>
          <w:sz w:val="28"/>
          <w:szCs w:val="28"/>
          <w:u w:val="none"/>
          <w:lang w:val="fr-FR"/>
        </w:rPr>
        <w:t>Publié en janvier 2014</w:t>
      </w:r>
    </w:p>
    <w:sectPr w:rsidR="000D1728" w:rsidRPr="000D1728" w:rsidSect="00124785">
      <w:headerReference w:type="default" r:id="rId16"/>
      <w:footerReference w:type="default" r:id="rId17"/>
      <w:pgSz w:w="11906" w:h="16838"/>
      <w:pgMar w:top="1276" w:right="144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DE" w:rsidRDefault="003E53DE" w:rsidP="00EE66A7">
      <w:pPr>
        <w:spacing w:after="0" w:line="240" w:lineRule="auto"/>
      </w:pPr>
      <w:r>
        <w:separator/>
      </w:r>
    </w:p>
  </w:endnote>
  <w:endnote w:type="continuationSeparator" w:id="0">
    <w:p w:rsidR="003E53DE" w:rsidRDefault="003E53DE" w:rsidP="00E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78803"/>
      <w:docPartObj>
        <w:docPartGallery w:val="Page Numbers (Bottom of Page)"/>
        <w:docPartUnique/>
      </w:docPartObj>
    </w:sdtPr>
    <w:sdtEndPr/>
    <w:sdtContent>
      <w:p w:rsidR="00427664" w:rsidRDefault="00427664">
        <w:pPr>
          <w:pStyle w:val="Pieddepage"/>
          <w:jc w:val="right"/>
        </w:pPr>
        <w:r>
          <w:fldChar w:fldCharType="begin"/>
        </w:r>
        <w:r>
          <w:instrText>PAGE   \* MERGEFORMAT</w:instrText>
        </w:r>
        <w:r>
          <w:fldChar w:fldCharType="separate"/>
        </w:r>
        <w:r w:rsidR="00007102" w:rsidRPr="00007102">
          <w:rPr>
            <w:noProof/>
            <w:lang w:val="nl-NL"/>
          </w:rPr>
          <w:t>3</w:t>
        </w:r>
        <w:r>
          <w:fldChar w:fldCharType="end"/>
        </w:r>
      </w:p>
    </w:sdtContent>
  </w:sdt>
  <w:p w:rsidR="00427664" w:rsidRDefault="004276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DE" w:rsidRDefault="003E53DE" w:rsidP="00EE66A7">
      <w:pPr>
        <w:spacing w:after="0" w:line="240" w:lineRule="auto"/>
      </w:pPr>
      <w:r>
        <w:separator/>
      </w:r>
    </w:p>
  </w:footnote>
  <w:footnote w:type="continuationSeparator" w:id="0">
    <w:p w:rsidR="003E53DE" w:rsidRDefault="003E53DE" w:rsidP="00EE66A7">
      <w:pPr>
        <w:spacing w:after="0" w:line="240" w:lineRule="auto"/>
      </w:pPr>
      <w:r>
        <w:continuationSeparator/>
      </w:r>
    </w:p>
  </w:footnote>
  <w:footnote w:id="1">
    <w:p w:rsidR="00427664" w:rsidRPr="00CF3BCB" w:rsidRDefault="00427664" w:rsidP="00C75578">
      <w:pPr>
        <w:pStyle w:val="Notedebasdepage"/>
        <w:rPr>
          <w:sz w:val="16"/>
          <w:szCs w:val="16"/>
        </w:rPr>
      </w:pPr>
      <w:r w:rsidRPr="00CF3BCB">
        <w:rPr>
          <w:rStyle w:val="Appelnotedebasdep"/>
          <w:sz w:val="16"/>
          <w:szCs w:val="16"/>
        </w:rPr>
        <w:footnoteRef/>
      </w:r>
      <w:r w:rsidRPr="00CF3BCB">
        <w:rPr>
          <w:sz w:val="16"/>
          <w:szCs w:val="16"/>
        </w:rPr>
        <w:t xml:space="preserve"> </w:t>
      </w:r>
      <w:r w:rsidRPr="00CF3BCB">
        <w:rPr>
          <w:sz w:val="16"/>
          <w:szCs w:val="16"/>
          <w:lang w:val="fr-FR"/>
        </w:rPr>
        <w:t>Voir aussi dans les chapitres spécifiques à ces secteurs.</w:t>
      </w:r>
    </w:p>
  </w:footnote>
  <w:footnote w:id="2">
    <w:p w:rsidR="00427664" w:rsidRPr="00CF3BCB" w:rsidRDefault="00427664">
      <w:pPr>
        <w:pStyle w:val="Notedebasdepage"/>
        <w:rPr>
          <w:sz w:val="16"/>
          <w:szCs w:val="16"/>
        </w:rPr>
      </w:pPr>
      <w:r w:rsidRPr="00CF3BCB">
        <w:rPr>
          <w:rStyle w:val="Appelnotedebasdep"/>
          <w:sz w:val="16"/>
          <w:szCs w:val="16"/>
        </w:rPr>
        <w:footnoteRef/>
      </w:r>
      <w:r w:rsidRPr="00CF3BCB">
        <w:rPr>
          <w:sz w:val="16"/>
          <w:szCs w:val="16"/>
        </w:rPr>
        <w:t xml:space="preserve"> http://signes.diversite.be/index-action=onderdeel&amp;onderdeel=11.html</w:t>
      </w:r>
    </w:p>
  </w:footnote>
  <w:footnote w:id="3">
    <w:p w:rsidR="00427664" w:rsidRPr="00E92926" w:rsidRDefault="00427664" w:rsidP="004B189C">
      <w:pPr>
        <w:pStyle w:val="Notedebasdepage"/>
        <w:jc w:val="both"/>
        <w:rPr>
          <w:sz w:val="16"/>
          <w:szCs w:val="16"/>
          <w:lang w:val="en-US"/>
        </w:rPr>
      </w:pPr>
      <w:r w:rsidRPr="00E92926">
        <w:rPr>
          <w:rStyle w:val="Appelnotedebasdep"/>
          <w:sz w:val="16"/>
          <w:szCs w:val="16"/>
          <w:lang w:val="en-GB"/>
        </w:rPr>
        <w:t>[2]</w:t>
      </w:r>
      <w:r w:rsidRPr="00E92926">
        <w:rPr>
          <w:sz w:val="16"/>
          <w:szCs w:val="16"/>
          <w:lang w:val="en-US"/>
        </w:rPr>
        <w:t xml:space="preserve"> UN Anti-discrimination </w:t>
      </w:r>
      <w:proofErr w:type="spellStart"/>
      <w:r w:rsidRPr="00E92926">
        <w:rPr>
          <w:sz w:val="16"/>
          <w:szCs w:val="16"/>
          <w:lang w:val="en-US"/>
        </w:rPr>
        <w:t>Comitee</w:t>
      </w:r>
      <w:proofErr w:type="spellEnd"/>
      <w:r w:rsidRPr="00E92926">
        <w:rPr>
          <w:sz w:val="16"/>
          <w:szCs w:val="16"/>
          <w:lang w:val="en-US"/>
        </w:rPr>
        <w:t>, General Recommendation No. 31: Administration of the Criminal Justice System, § 20; European Commission against Racism and Intolerance, General Policy Recommendation No. 11 on Combating Racism and Racial Discrimination in Policing, 2007 ; Open Society Justice Initiative &amp; European Network against Racism, ENAR Fact Sheet “</w:t>
      </w:r>
      <w:proofErr w:type="spellStart"/>
      <w:r w:rsidRPr="00E92926">
        <w:rPr>
          <w:sz w:val="16"/>
          <w:szCs w:val="16"/>
          <w:lang w:val="en-US"/>
        </w:rPr>
        <w:t>profilage</w:t>
      </w:r>
      <w:proofErr w:type="spellEnd"/>
      <w:r w:rsidRPr="00E92926">
        <w:rPr>
          <w:sz w:val="16"/>
          <w:szCs w:val="16"/>
          <w:lang w:val="en-US"/>
        </w:rPr>
        <w:t xml:space="preserve"> </w:t>
      </w:r>
      <w:proofErr w:type="spellStart"/>
      <w:r w:rsidRPr="00E92926">
        <w:rPr>
          <w:sz w:val="16"/>
          <w:szCs w:val="16"/>
          <w:lang w:val="en-US"/>
        </w:rPr>
        <w:t>ethnique</w:t>
      </w:r>
      <w:proofErr w:type="spellEnd"/>
      <w:r w:rsidRPr="00E92926">
        <w:rPr>
          <w:sz w:val="16"/>
          <w:szCs w:val="16"/>
          <w:lang w:val="en-US"/>
        </w:rPr>
        <w:t>”, 2009, 5.</w:t>
      </w:r>
    </w:p>
  </w:footnote>
  <w:footnote w:id="4">
    <w:p w:rsidR="00427664" w:rsidRDefault="00427664" w:rsidP="00375523">
      <w:pPr>
        <w:pStyle w:val="Notedebasdepage"/>
        <w:jc w:val="both"/>
        <w:rPr>
          <w:szCs w:val="24"/>
        </w:rPr>
      </w:pPr>
      <w:r w:rsidRPr="00E92926">
        <w:rPr>
          <w:rStyle w:val="Appelnotedebasdep"/>
          <w:sz w:val="16"/>
          <w:szCs w:val="16"/>
        </w:rPr>
        <w:t>[3]</w:t>
      </w:r>
      <w:r w:rsidRPr="00E92926">
        <w:rPr>
          <w:sz w:val="16"/>
          <w:szCs w:val="16"/>
        </w:rPr>
        <w:t xml:space="preserve"> Pour des pratiques de police plus efficaces, Guide pour comprendre et prévenir le profilage ethnique discriminatoire 2010,  2011,  FRA — Agence des droits fondamentaux de l’Union européenne</w:t>
      </w:r>
      <w:r w:rsidRPr="00E92926">
        <w:rPr>
          <w:sz w:val="16"/>
          <w:szCs w:val="16"/>
          <w:lang w:val="fr-FR"/>
        </w:rPr>
        <w:t xml:space="preserve"> ; </w:t>
      </w:r>
      <w:proofErr w:type="spellStart"/>
      <w:r w:rsidRPr="00E92926">
        <w:rPr>
          <w:sz w:val="16"/>
          <w:szCs w:val="16"/>
          <w:lang w:val="fr-FR"/>
        </w:rPr>
        <w:t>Rosalind</w:t>
      </w:r>
      <w:proofErr w:type="spellEnd"/>
      <w:r w:rsidRPr="00E92926">
        <w:rPr>
          <w:sz w:val="16"/>
          <w:szCs w:val="16"/>
          <w:lang w:val="fr-FR"/>
        </w:rPr>
        <w:t xml:space="preserve"> Williams v. Espagne, jugement de la cour constitutionnelle d’Espagne, N</w:t>
      </w:r>
      <w:r w:rsidRPr="00E92926">
        <w:rPr>
          <w:sz w:val="16"/>
          <w:szCs w:val="16"/>
          <w:vertAlign w:val="superscript"/>
          <w:lang w:val="fr-FR"/>
        </w:rPr>
        <w:t>o</w:t>
      </w:r>
      <w:r w:rsidRPr="00E92926">
        <w:rPr>
          <w:sz w:val="16"/>
          <w:szCs w:val="16"/>
        </w:rPr>
        <w:t xml:space="preserve"> </w:t>
      </w:r>
      <w:r w:rsidRPr="00E92926">
        <w:rPr>
          <w:sz w:val="16"/>
          <w:szCs w:val="16"/>
          <w:lang w:val="fr-FR"/>
        </w:rPr>
        <w:t xml:space="preserve">13/2001, 29 janvier 2001 ; </w:t>
      </w:r>
      <w:proofErr w:type="spellStart"/>
      <w:r w:rsidRPr="00E92926">
        <w:rPr>
          <w:sz w:val="16"/>
          <w:szCs w:val="16"/>
          <w:lang w:val="fr-FR"/>
        </w:rPr>
        <w:t>Timishev</w:t>
      </w:r>
      <w:proofErr w:type="spellEnd"/>
      <w:r w:rsidRPr="00E92926">
        <w:rPr>
          <w:sz w:val="16"/>
          <w:szCs w:val="16"/>
          <w:lang w:val="fr-FR"/>
        </w:rPr>
        <w:t xml:space="preserve"> v. Russie, CEDH, jugement du 13 décembre 2005.</w:t>
      </w:r>
    </w:p>
  </w:footnote>
  <w:footnote w:id="5">
    <w:p w:rsidR="00427664" w:rsidRPr="004D7390" w:rsidRDefault="00427664" w:rsidP="0004403D">
      <w:pPr>
        <w:pStyle w:val="Notedebasdepage"/>
        <w:rPr>
          <w:sz w:val="16"/>
          <w:szCs w:val="16"/>
        </w:rPr>
      </w:pPr>
      <w:r w:rsidRPr="004D7390">
        <w:rPr>
          <w:rStyle w:val="Appelnotedebasdep"/>
          <w:sz w:val="16"/>
          <w:szCs w:val="16"/>
        </w:rPr>
        <w:footnoteRef/>
      </w:r>
      <w:r w:rsidRPr="004D7390">
        <w:rPr>
          <w:sz w:val="16"/>
          <w:szCs w:val="16"/>
        </w:rPr>
        <w:t xml:space="preserve"> Étude du Centrum </w:t>
      </w:r>
      <w:proofErr w:type="spellStart"/>
      <w:r w:rsidRPr="004D7390">
        <w:rPr>
          <w:sz w:val="16"/>
          <w:szCs w:val="16"/>
        </w:rPr>
        <w:t>voor</w:t>
      </w:r>
      <w:proofErr w:type="spellEnd"/>
      <w:r w:rsidRPr="004D7390">
        <w:rPr>
          <w:sz w:val="16"/>
          <w:szCs w:val="16"/>
        </w:rPr>
        <w:t xml:space="preserve"> </w:t>
      </w:r>
      <w:proofErr w:type="spellStart"/>
      <w:r w:rsidRPr="004D7390">
        <w:rPr>
          <w:sz w:val="16"/>
          <w:szCs w:val="16"/>
        </w:rPr>
        <w:t>Sociaal</w:t>
      </w:r>
      <w:proofErr w:type="spellEnd"/>
      <w:r w:rsidRPr="004D7390">
        <w:rPr>
          <w:sz w:val="16"/>
          <w:szCs w:val="16"/>
        </w:rPr>
        <w:t xml:space="preserve"> </w:t>
      </w:r>
      <w:proofErr w:type="spellStart"/>
      <w:r w:rsidRPr="004D7390">
        <w:rPr>
          <w:sz w:val="16"/>
          <w:szCs w:val="16"/>
        </w:rPr>
        <w:t>Beleid</w:t>
      </w:r>
      <w:proofErr w:type="spellEnd"/>
      <w:r w:rsidRPr="004D7390">
        <w:rPr>
          <w:sz w:val="16"/>
          <w:szCs w:val="16"/>
        </w:rPr>
        <w:t xml:space="preserve"> – Herman </w:t>
      </w:r>
      <w:proofErr w:type="spellStart"/>
      <w:r w:rsidRPr="004D7390">
        <w:rPr>
          <w:sz w:val="16"/>
          <w:szCs w:val="16"/>
        </w:rPr>
        <w:t>Deleeck</w:t>
      </w:r>
      <w:proofErr w:type="spellEnd"/>
      <w:r w:rsidRPr="004D7390">
        <w:rPr>
          <w:sz w:val="16"/>
          <w:szCs w:val="16"/>
        </w:rPr>
        <w:t xml:space="preserve"> de l’</w:t>
      </w:r>
      <w:proofErr w:type="spellStart"/>
      <w:r w:rsidRPr="004D7390">
        <w:rPr>
          <w:sz w:val="16"/>
          <w:szCs w:val="16"/>
        </w:rPr>
        <w:t>Universiteit</w:t>
      </w:r>
      <w:proofErr w:type="spellEnd"/>
      <w:r w:rsidRPr="004D7390">
        <w:rPr>
          <w:sz w:val="16"/>
          <w:szCs w:val="16"/>
        </w:rPr>
        <w:t xml:space="preserve"> Antwerpen: V. </w:t>
      </w:r>
      <w:proofErr w:type="spellStart"/>
      <w:r w:rsidRPr="004D7390">
        <w:rPr>
          <w:sz w:val="16"/>
          <w:szCs w:val="16"/>
        </w:rPr>
        <w:t>Corluy</w:t>
      </w:r>
      <w:proofErr w:type="spellEnd"/>
      <w:r w:rsidRPr="004D7390">
        <w:rPr>
          <w:sz w:val="16"/>
          <w:szCs w:val="16"/>
        </w:rPr>
        <w:t xml:space="preserve">, I. Marx et G. </w:t>
      </w:r>
      <w:proofErr w:type="spellStart"/>
      <w:r w:rsidRPr="004D7390">
        <w:rPr>
          <w:sz w:val="16"/>
          <w:szCs w:val="16"/>
        </w:rPr>
        <w:t>Verbist</w:t>
      </w:r>
      <w:proofErr w:type="spellEnd"/>
      <w:r w:rsidRPr="004D7390">
        <w:rPr>
          <w:sz w:val="16"/>
          <w:szCs w:val="16"/>
        </w:rPr>
        <w:t>, “</w:t>
      </w:r>
      <w:proofErr w:type="spellStart"/>
      <w:r w:rsidRPr="004D7390">
        <w:rPr>
          <w:sz w:val="16"/>
          <w:szCs w:val="16"/>
        </w:rPr>
        <w:t>Employment</w:t>
      </w:r>
      <w:proofErr w:type="spellEnd"/>
      <w:r w:rsidRPr="004D7390">
        <w:rPr>
          <w:sz w:val="16"/>
          <w:szCs w:val="16"/>
        </w:rPr>
        <w:t xml:space="preserve"> chances and changes of immigrants in </w:t>
      </w:r>
      <w:proofErr w:type="spellStart"/>
      <w:r w:rsidRPr="004D7390">
        <w:rPr>
          <w:sz w:val="16"/>
          <w:szCs w:val="16"/>
        </w:rPr>
        <w:t>Belgium</w:t>
      </w:r>
      <w:proofErr w:type="spellEnd"/>
      <w:r w:rsidRPr="004D7390">
        <w:rPr>
          <w:sz w:val="16"/>
          <w:szCs w:val="16"/>
        </w:rPr>
        <w:t xml:space="preserve">: The impact of </w:t>
      </w:r>
      <w:proofErr w:type="spellStart"/>
      <w:r w:rsidRPr="004D7390">
        <w:rPr>
          <w:sz w:val="16"/>
          <w:szCs w:val="16"/>
        </w:rPr>
        <w:t>citizenship</w:t>
      </w:r>
      <w:proofErr w:type="spellEnd"/>
      <w:r w:rsidRPr="004D7390">
        <w:rPr>
          <w:sz w:val="16"/>
          <w:szCs w:val="16"/>
        </w:rPr>
        <w:t xml:space="preserve">”, </w:t>
      </w:r>
      <w:r w:rsidRPr="004D7390">
        <w:rPr>
          <w:i/>
          <w:sz w:val="16"/>
          <w:szCs w:val="16"/>
        </w:rPr>
        <w:t xml:space="preserve">International Journal of comparative </w:t>
      </w:r>
      <w:proofErr w:type="spellStart"/>
      <w:r w:rsidRPr="004D7390">
        <w:rPr>
          <w:i/>
          <w:sz w:val="16"/>
          <w:szCs w:val="16"/>
        </w:rPr>
        <w:t>Sociology</w:t>
      </w:r>
      <w:proofErr w:type="spellEnd"/>
      <w:r w:rsidRPr="004D7390">
        <w:rPr>
          <w:sz w:val="16"/>
          <w:szCs w:val="16"/>
        </w:rPr>
        <w:t>, 52(4), pp. 350-368, 2011.</w:t>
      </w:r>
    </w:p>
  </w:footnote>
  <w:footnote w:id="6">
    <w:p w:rsidR="00427664" w:rsidRPr="004D7390" w:rsidRDefault="00427664" w:rsidP="0004403D">
      <w:pPr>
        <w:pStyle w:val="Notedebasdepage"/>
        <w:rPr>
          <w:sz w:val="16"/>
          <w:szCs w:val="16"/>
          <w:lang w:val="en-US"/>
        </w:rPr>
      </w:pPr>
      <w:r w:rsidRPr="004D7390">
        <w:rPr>
          <w:rStyle w:val="Appelnotedebasdep"/>
          <w:sz w:val="16"/>
          <w:szCs w:val="16"/>
        </w:rPr>
        <w:footnoteRef/>
      </w:r>
      <w:r w:rsidRPr="004D7390">
        <w:rPr>
          <w:sz w:val="16"/>
          <w:szCs w:val="16"/>
          <w:lang w:val="en-US"/>
        </w:rPr>
        <w:t xml:space="preserve"> Robert Schuman Centre for advanced studies, </w:t>
      </w:r>
      <w:r w:rsidRPr="004D7390">
        <w:rPr>
          <w:i/>
          <w:sz w:val="16"/>
          <w:szCs w:val="16"/>
          <w:lang w:val="en-US"/>
        </w:rPr>
        <w:t xml:space="preserve">Membership and/or rights? </w:t>
      </w:r>
      <w:proofErr w:type="spellStart"/>
      <w:r w:rsidRPr="004D7390">
        <w:rPr>
          <w:i/>
          <w:sz w:val="16"/>
          <w:szCs w:val="16"/>
          <w:lang w:val="en-US"/>
        </w:rPr>
        <w:t>Analysing</w:t>
      </w:r>
      <w:proofErr w:type="spellEnd"/>
      <w:r w:rsidRPr="004D7390">
        <w:rPr>
          <w:i/>
          <w:sz w:val="16"/>
          <w:szCs w:val="16"/>
          <w:lang w:val="en-US"/>
        </w:rPr>
        <w:t xml:space="preserve"> the link between naturalization and integration policies fort immigrants in Europe, </w:t>
      </w:r>
      <w:proofErr w:type="spellStart"/>
      <w:r w:rsidRPr="004D7390">
        <w:rPr>
          <w:sz w:val="16"/>
          <w:szCs w:val="16"/>
          <w:lang w:val="en-US"/>
        </w:rPr>
        <w:t>septembre</w:t>
      </w:r>
      <w:proofErr w:type="spellEnd"/>
      <w:r w:rsidRPr="004D7390">
        <w:rPr>
          <w:sz w:val="16"/>
          <w:szCs w:val="16"/>
          <w:lang w:val="en-US"/>
        </w:rPr>
        <w:t xml:space="preserve"> 2013</w:t>
      </w:r>
      <w:r w:rsidRPr="004D7390">
        <w:rPr>
          <w:i/>
          <w:sz w:val="16"/>
          <w:szCs w:val="16"/>
          <w:lang w:val="en-US"/>
        </w:rPr>
        <w:t>.</w:t>
      </w:r>
    </w:p>
  </w:footnote>
  <w:footnote w:id="7">
    <w:p w:rsidR="00427664" w:rsidRPr="005623BC" w:rsidRDefault="00427664" w:rsidP="00295F3F">
      <w:pPr>
        <w:pStyle w:val="Notedebasdepage"/>
        <w:rPr>
          <w:sz w:val="16"/>
          <w:szCs w:val="16"/>
          <w:lang w:val="en-US"/>
        </w:rPr>
      </w:pPr>
      <w:r w:rsidRPr="005623BC">
        <w:rPr>
          <w:rStyle w:val="Appelnotedebasdep"/>
          <w:sz w:val="16"/>
          <w:szCs w:val="16"/>
        </w:rPr>
        <w:footnoteRef/>
      </w:r>
      <w:r w:rsidRPr="005623BC">
        <w:rPr>
          <w:sz w:val="16"/>
          <w:szCs w:val="16"/>
          <w:lang w:val="en-US"/>
        </w:rPr>
        <w:t xml:space="preserve"> http://www.diversite.be/lois-antidiscrimination-et-antiracisme-%C3%A9valuation</w:t>
      </w:r>
    </w:p>
  </w:footnote>
  <w:footnote w:id="8">
    <w:p w:rsidR="00427664" w:rsidRPr="005623BC" w:rsidRDefault="00427664" w:rsidP="00E22B60">
      <w:pPr>
        <w:pStyle w:val="Notedebasdepage"/>
        <w:rPr>
          <w:sz w:val="16"/>
          <w:szCs w:val="16"/>
        </w:rPr>
      </w:pPr>
      <w:r w:rsidRPr="005623BC">
        <w:rPr>
          <w:rStyle w:val="Appelnotedebasdep"/>
          <w:sz w:val="16"/>
          <w:szCs w:val="16"/>
        </w:rPr>
        <w:footnoteRef/>
      </w:r>
      <w:r w:rsidRPr="005623BC">
        <w:rPr>
          <w:sz w:val="16"/>
          <w:szCs w:val="16"/>
        </w:rPr>
        <w:t xml:space="preserve"> Voir p</w:t>
      </w:r>
      <w:r w:rsidR="002B5038">
        <w:rPr>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64" w:rsidRDefault="00427664">
    <w:pPr>
      <w:pStyle w:val="En-tte"/>
    </w:pPr>
  </w:p>
  <w:p w:rsidR="00427664" w:rsidRDefault="004276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676"/>
    <w:multiLevelType w:val="hybridMultilevel"/>
    <w:tmpl w:val="B3F8E75E"/>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
    <w:nsid w:val="0829360B"/>
    <w:multiLevelType w:val="hybridMultilevel"/>
    <w:tmpl w:val="04FCA92C"/>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2">
    <w:nsid w:val="0D8B3604"/>
    <w:multiLevelType w:val="hybridMultilevel"/>
    <w:tmpl w:val="C128BB7A"/>
    <w:lvl w:ilvl="0" w:tplc="E4B48B4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3">
    <w:nsid w:val="121321F6"/>
    <w:multiLevelType w:val="hybridMultilevel"/>
    <w:tmpl w:val="378A04E8"/>
    <w:lvl w:ilvl="0" w:tplc="974A5D2A">
      <w:start w:val="1"/>
      <w:numFmt w:val="bullet"/>
      <w:lvlText w:val="o"/>
      <w:lvlJc w:val="left"/>
      <w:pPr>
        <w:ind w:left="3586" w:hanging="360"/>
      </w:pPr>
      <w:rPr>
        <w:rFonts w:ascii="Courier New" w:hAnsi="Courier New" w:cs="Courier New" w:hint="default"/>
      </w:rPr>
    </w:lvl>
    <w:lvl w:ilvl="1" w:tplc="080C0003" w:tentative="1">
      <w:start w:val="1"/>
      <w:numFmt w:val="bullet"/>
      <w:lvlText w:val="o"/>
      <w:lvlJc w:val="left"/>
      <w:pPr>
        <w:ind w:left="4306" w:hanging="360"/>
      </w:pPr>
      <w:rPr>
        <w:rFonts w:ascii="Courier New" w:hAnsi="Courier New" w:cs="Courier New" w:hint="default"/>
      </w:rPr>
    </w:lvl>
    <w:lvl w:ilvl="2" w:tplc="080C0005" w:tentative="1">
      <w:start w:val="1"/>
      <w:numFmt w:val="bullet"/>
      <w:lvlText w:val=""/>
      <w:lvlJc w:val="left"/>
      <w:pPr>
        <w:ind w:left="5026" w:hanging="360"/>
      </w:pPr>
      <w:rPr>
        <w:rFonts w:ascii="Wingdings" w:hAnsi="Wingdings" w:hint="default"/>
      </w:rPr>
    </w:lvl>
    <w:lvl w:ilvl="3" w:tplc="080C0001" w:tentative="1">
      <w:start w:val="1"/>
      <w:numFmt w:val="bullet"/>
      <w:lvlText w:val=""/>
      <w:lvlJc w:val="left"/>
      <w:pPr>
        <w:ind w:left="5746" w:hanging="360"/>
      </w:pPr>
      <w:rPr>
        <w:rFonts w:ascii="Symbol" w:hAnsi="Symbol" w:hint="default"/>
      </w:rPr>
    </w:lvl>
    <w:lvl w:ilvl="4" w:tplc="080C0003" w:tentative="1">
      <w:start w:val="1"/>
      <w:numFmt w:val="bullet"/>
      <w:lvlText w:val="o"/>
      <w:lvlJc w:val="left"/>
      <w:pPr>
        <w:ind w:left="6466" w:hanging="360"/>
      </w:pPr>
      <w:rPr>
        <w:rFonts w:ascii="Courier New" w:hAnsi="Courier New" w:cs="Courier New" w:hint="default"/>
      </w:rPr>
    </w:lvl>
    <w:lvl w:ilvl="5" w:tplc="080C0005" w:tentative="1">
      <w:start w:val="1"/>
      <w:numFmt w:val="bullet"/>
      <w:lvlText w:val=""/>
      <w:lvlJc w:val="left"/>
      <w:pPr>
        <w:ind w:left="7186" w:hanging="360"/>
      </w:pPr>
      <w:rPr>
        <w:rFonts w:ascii="Wingdings" w:hAnsi="Wingdings" w:hint="default"/>
      </w:rPr>
    </w:lvl>
    <w:lvl w:ilvl="6" w:tplc="080C0001" w:tentative="1">
      <w:start w:val="1"/>
      <w:numFmt w:val="bullet"/>
      <w:lvlText w:val=""/>
      <w:lvlJc w:val="left"/>
      <w:pPr>
        <w:ind w:left="7906" w:hanging="360"/>
      </w:pPr>
      <w:rPr>
        <w:rFonts w:ascii="Symbol" w:hAnsi="Symbol" w:hint="default"/>
      </w:rPr>
    </w:lvl>
    <w:lvl w:ilvl="7" w:tplc="080C0003" w:tentative="1">
      <w:start w:val="1"/>
      <w:numFmt w:val="bullet"/>
      <w:lvlText w:val="o"/>
      <w:lvlJc w:val="left"/>
      <w:pPr>
        <w:ind w:left="8626" w:hanging="360"/>
      </w:pPr>
      <w:rPr>
        <w:rFonts w:ascii="Courier New" w:hAnsi="Courier New" w:cs="Courier New" w:hint="default"/>
      </w:rPr>
    </w:lvl>
    <w:lvl w:ilvl="8" w:tplc="080C0005" w:tentative="1">
      <w:start w:val="1"/>
      <w:numFmt w:val="bullet"/>
      <w:lvlText w:val=""/>
      <w:lvlJc w:val="left"/>
      <w:pPr>
        <w:ind w:left="9346" w:hanging="360"/>
      </w:pPr>
      <w:rPr>
        <w:rFonts w:ascii="Wingdings" w:hAnsi="Wingdings" w:hint="default"/>
      </w:rPr>
    </w:lvl>
  </w:abstractNum>
  <w:abstractNum w:abstractNumId="4">
    <w:nsid w:val="122B1D03"/>
    <w:multiLevelType w:val="hybridMultilevel"/>
    <w:tmpl w:val="72E8C678"/>
    <w:lvl w:ilvl="0" w:tplc="31E48366">
      <w:numFmt w:val="bullet"/>
      <w:lvlText w:val="-"/>
      <w:lvlJc w:val="left"/>
      <w:pPr>
        <w:ind w:left="3130" w:hanging="360"/>
      </w:pPr>
      <w:rPr>
        <w:rFonts w:ascii="Calibri" w:eastAsia="Times New Roman" w:hAnsi="Calibri" w:cs="Times New Roman" w:hint="default"/>
      </w:rPr>
    </w:lvl>
    <w:lvl w:ilvl="1" w:tplc="080C0003" w:tentative="1">
      <w:start w:val="1"/>
      <w:numFmt w:val="bullet"/>
      <w:lvlText w:val="o"/>
      <w:lvlJc w:val="left"/>
      <w:pPr>
        <w:ind w:left="3850" w:hanging="360"/>
      </w:pPr>
      <w:rPr>
        <w:rFonts w:ascii="Courier New" w:hAnsi="Courier New" w:cs="Courier New"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5">
    <w:nsid w:val="15D2445C"/>
    <w:multiLevelType w:val="hybridMultilevel"/>
    <w:tmpl w:val="72CC7BA8"/>
    <w:lvl w:ilvl="0" w:tplc="4A0E6A1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9EA6338"/>
    <w:multiLevelType w:val="hybridMultilevel"/>
    <w:tmpl w:val="66507C0C"/>
    <w:lvl w:ilvl="0" w:tplc="31E48366">
      <w:numFmt w:val="bullet"/>
      <w:lvlText w:val="-"/>
      <w:lvlJc w:val="left"/>
      <w:pPr>
        <w:ind w:left="2484" w:hanging="360"/>
      </w:pPr>
      <w:rPr>
        <w:rFonts w:ascii="Calibri" w:eastAsia="Times New Roman" w:hAnsi="Calibri" w:cs="Times New Roman" w:hint="default"/>
        <w:b/>
      </w:rPr>
    </w:lvl>
    <w:lvl w:ilvl="1" w:tplc="080C0019">
      <w:start w:val="1"/>
      <w:numFmt w:val="lowerLetter"/>
      <w:lvlText w:val="%2."/>
      <w:lvlJc w:val="left"/>
      <w:pPr>
        <w:ind w:left="3204" w:hanging="360"/>
      </w:pPr>
    </w:lvl>
    <w:lvl w:ilvl="2" w:tplc="080C001B">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7">
    <w:nsid w:val="1DE87C86"/>
    <w:multiLevelType w:val="hybridMultilevel"/>
    <w:tmpl w:val="2E76E8A4"/>
    <w:lvl w:ilvl="0" w:tplc="080C0001">
      <w:start w:val="1"/>
      <w:numFmt w:val="bullet"/>
      <w:lvlText w:val=""/>
      <w:lvlJc w:val="left"/>
      <w:pPr>
        <w:ind w:left="2484" w:hanging="360"/>
      </w:pPr>
      <w:rPr>
        <w:rFonts w:ascii="Symbol" w:hAnsi="Symbol" w:hint="default"/>
      </w:rPr>
    </w:lvl>
    <w:lvl w:ilvl="1" w:tplc="080C0003">
      <w:start w:val="1"/>
      <w:numFmt w:val="bullet"/>
      <w:lvlText w:val="o"/>
      <w:lvlJc w:val="left"/>
      <w:pPr>
        <w:ind w:left="3204" w:hanging="360"/>
      </w:pPr>
      <w:rPr>
        <w:rFonts w:ascii="Courier New" w:hAnsi="Courier New" w:cs="Courier New" w:hint="default"/>
      </w:rPr>
    </w:lvl>
    <w:lvl w:ilvl="2" w:tplc="080C0005">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8">
    <w:nsid w:val="21904249"/>
    <w:multiLevelType w:val="hybridMultilevel"/>
    <w:tmpl w:val="025CF1A0"/>
    <w:lvl w:ilvl="0" w:tplc="0809000F">
      <w:start w:val="1"/>
      <w:numFmt w:val="decimal"/>
      <w:lvlText w:val="%1."/>
      <w:lvlJc w:val="left"/>
      <w:pPr>
        <w:ind w:left="3552" w:hanging="360"/>
      </w:pPr>
    </w:lvl>
    <w:lvl w:ilvl="1" w:tplc="08090019">
      <w:start w:val="1"/>
      <w:numFmt w:val="lowerLetter"/>
      <w:lvlText w:val="%2."/>
      <w:lvlJc w:val="left"/>
      <w:pPr>
        <w:ind w:left="4272" w:hanging="360"/>
      </w:pPr>
    </w:lvl>
    <w:lvl w:ilvl="2" w:tplc="0809001B">
      <w:start w:val="1"/>
      <w:numFmt w:val="lowerRoman"/>
      <w:lvlText w:val="%3."/>
      <w:lvlJc w:val="right"/>
      <w:pPr>
        <w:ind w:left="4992" w:hanging="180"/>
      </w:pPr>
    </w:lvl>
    <w:lvl w:ilvl="3" w:tplc="0809000F">
      <w:start w:val="1"/>
      <w:numFmt w:val="decimal"/>
      <w:lvlText w:val="%4."/>
      <w:lvlJc w:val="left"/>
      <w:pPr>
        <w:ind w:left="5712" w:hanging="360"/>
      </w:pPr>
    </w:lvl>
    <w:lvl w:ilvl="4" w:tplc="08090019">
      <w:start w:val="1"/>
      <w:numFmt w:val="lowerLetter"/>
      <w:lvlText w:val="%5."/>
      <w:lvlJc w:val="left"/>
      <w:pPr>
        <w:ind w:left="6432" w:hanging="360"/>
      </w:pPr>
    </w:lvl>
    <w:lvl w:ilvl="5" w:tplc="0809001B">
      <w:start w:val="1"/>
      <w:numFmt w:val="lowerRoman"/>
      <w:lvlText w:val="%6."/>
      <w:lvlJc w:val="right"/>
      <w:pPr>
        <w:ind w:left="7152" w:hanging="180"/>
      </w:pPr>
    </w:lvl>
    <w:lvl w:ilvl="6" w:tplc="0809000F">
      <w:start w:val="1"/>
      <w:numFmt w:val="decimal"/>
      <w:lvlText w:val="%7."/>
      <w:lvlJc w:val="left"/>
      <w:pPr>
        <w:ind w:left="7872" w:hanging="360"/>
      </w:pPr>
    </w:lvl>
    <w:lvl w:ilvl="7" w:tplc="08090019">
      <w:start w:val="1"/>
      <w:numFmt w:val="lowerLetter"/>
      <w:lvlText w:val="%8."/>
      <w:lvlJc w:val="left"/>
      <w:pPr>
        <w:ind w:left="8592" w:hanging="360"/>
      </w:pPr>
    </w:lvl>
    <w:lvl w:ilvl="8" w:tplc="0809001B">
      <w:start w:val="1"/>
      <w:numFmt w:val="lowerRoman"/>
      <w:lvlText w:val="%9."/>
      <w:lvlJc w:val="right"/>
      <w:pPr>
        <w:ind w:left="9312" w:hanging="180"/>
      </w:pPr>
    </w:lvl>
  </w:abstractNum>
  <w:abstractNum w:abstractNumId="9">
    <w:nsid w:val="2BCE319B"/>
    <w:multiLevelType w:val="hybridMultilevel"/>
    <w:tmpl w:val="CAB2B296"/>
    <w:lvl w:ilvl="0" w:tplc="1EDEA94E">
      <w:start w:val="1"/>
      <w:numFmt w:val="decimal"/>
      <w:lvlText w:val="%1."/>
      <w:lvlJc w:val="left"/>
      <w:pPr>
        <w:ind w:left="2770" w:hanging="360"/>
      </w:pPr>
      <w:rPr>
        <w:rFonts w:hint="default"/>
      </w:rPr>
    </w:lvl>
    <w:lvl w:ilvl="1" w:tplc="080C0019" w:tentative="1">
      <w:start w:val="1"/>
      <w:numFmt w:val="lowerLetter"/>
      <w:lvlText w:val="%2."/>
      <w:lvlJc w:val="left"/>
      <w:pPr>
        <w:ind w:left="3490" w:hanging="360"/>
      </w:pPr>
    </w:lvl>
    <w:lvl w:ilvl="2" w:tplc="080C001B" w:tentative="1">
      <w:start w:val="1"/>
      <w:numFmt w:val="lowerRoman"/>
      <w:lvlText w:val="%3."/>
      <w:lvlJc w:val="right"/>
      <w:pPr>
        <w:ind w:left="4210" w:hanging="180"/>
      </w:pPr>
    </w:lvl>
    <w:lvl w:ilvl="3" w:tplc="080C000F" w:tentative="1">
      <w:start w:val="1"/>
      <w:numFmt w:val="decimal"/>
      <w:lvlText w:val="%4."/>
      <w:lvlJc w:val="left"/>
      <w:pPr>
        <w:ind w:left="4930" w:hanging="360"/>
      </w:pPr>
    </w:lvl>
    <w:lvl w:ilvl="4" w:tplc="080C0019" w:tentative="1">
      <w:start w:val="1"/>
      <w:numFmt w:val="lowerLetter"/>
      <w:lvlText w:val="%5."/>
      <w:lvlJc w:val="left"/>
      <w:pPr>
        <w:ind w:left="5650" w:hanging="360"/>
      </w:pPr>
    </w:lvl>
    <w:lvl w:ilvl="5" w:tplc="080C001B" w:tentative="1">
      <w:start w:val="1"/>
      <w:numFmt w:val="lowerRoman"/>
      <w:lvlText w:val="%6."/>
      <w:lvlJc w:val="right"/>
      <w:pPr>
        <w:ind w:left="6370" w:hanging="180"/>
      </w:pPr>
    </w:lvl>
    <w:lvl w:ilvl="6" w:tplc="080C000F" w:tentative="1">
      <w:start w:val="1"/>
      <w:numFmt w:val="decimal"/>
      <w:lvlText w:val="%7."/>
      <w:lvlJc w:val="left"/>
      <w:pPr>
        <w:ind w:left="7090" w:hanging="360"/>
      </w:pPr>
    </w:lvl>
    <w:lvl w:ilvl="7" w:tplc="080C0019" w:tentative="1">
      <w:start w:val="1"/>
      <w:numFmt w:val="lowerLetter"/>
      <w:lvlText w:val="%8."/>
      <w:lvlJc w:val="left"/>
      <w:pPr>
        <w:ind w:left="7810" w:hanging="360"/>
      </w:pPr>
    </w:lvl>
    <w:lvl w:ilvl="8" w:tplc="080C001B" w:tentative="1">
      <w:start w:val="1"/>
      <w:numFmt w:val="lowerRoman"/>
      <w:lvlText w:val="%9."/>
      <w:lvlJc w:val="right"/>
      <w:pPr>
        <w:ind w:left="8530" w:hanging="180"/>
      </w:pPr>
    </w:lvl>
  </w:abstractNum>
  <w:abstractNum w:abstractNumId="10">
    <w:nsid w:val="2C2A0FDD"/>
    <w:multiLevelType w:val="hybridMultilevel"/>
    <w:tmpl w:val="86D89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D567671"/>
    <w:multiLevelType w:val="hybridMultilevel"/>
    <w:tmpl w:val="A7D64C78"/>
    <w:lvl w:ilvl="0" w:tplc="F0708BD8">
      <w:numFmt w:val="bullet"/>
      <w:lvlText w:val="-"/>
      <w:lvlJc w:val="left"/>
      <w:pPr>
        <w:ind w:left="3552" w:hanging="360"/>
      </w:pPr>
      <w:rPr>
        <w:rFonts w:ascii="Calibri" w:eastAsia="Times New Roman" w:hAnsi="Calibri" w:cs="Times New Roman" w:hint="default"/>
      </w:rPr>
    </w:lvl>
    <w:lvl w:ilvl="1" w:tplc="080C0003" w:tentative="1">
      <w:start w:val="1"/>
      <w:numFmt w:val="bullet"/>
      <w:lvlText w:val="o"/>
      <w:lvlJc w:val="left"/>
      <w:pPr>
        <w:ind w:left="4272" w:hanging="360"/>
      </w:pPr>
      <w:rPr>
        <w:rFonts w:ascii="Courier New" w:hAnsi="Courier New" w:cs="Courier New" w:hint="default"/>
      </w:rPr>
    </w:lvl>
    <w:lvl w:ilvl="2" w:tplc="080C0005" w:tentative="1">
      <w:start w:val="1"/>
      <w:numFmt w:val="bullet"/>
      <w:lvlText w:val=""/>
      <w:lvlJc w:val="left"/>
      <w:pPr>
        <w:ind w:left="4992" w:hanging="360"/>
      </w:pPr>
      <w:rPr>
        <w:rFonts w:ascii="Wingdings" w:hAnsi="Wingdings" w:hint="default"/>
      </w:rPr>
    </w:lvl>
    <w:lvl w:ilvl="3" w:tplc="080C0001" w:tentative="1">
      <w:start w:val="1"/>
      <w:numFmt w:val="bullet"/>
      <w:lvlText w:val=""/>
      <w:lvlJc w:val="left"/>
      <w:pPr>
        <w:ind w:left="5712" w:hanging="360"/>
      </w:pPr>
      <w:rPr>
        <w:rFonts w:ascii="Symbol" w:hAnsi="Symbol" w:hint="default"/>
      </w:rPr>
    </w:lvl>
    <w:lvl w:ilvl="4" w:tplc="080C0003" w:tentative="1">
      <w:start w:val="1"/>
      <w:numFmt w:val="bullet"/>
      <w:lvlText w:val="o"/>
      <w:lvlJc w:val="left"/>
      <w:pPr>
        <w:ind w:left="6432" w:hanging="360"/>
      </w:pPr>
      <w:rPr>
        <w:rFonts w:ascii="Courier New" w:hAnsi="Courier New" w:cs="Courier New" w:hint="default"/>
      </w:rPr>
    </w:lvl>
    <w:lvl w:ilvl="5" w:tplc="080C0005" w:tentative="1">
      <w:start w:val="1"/>
      <w:numFmt w:val="bullet"/>
      <w:lvlText w:val=""/>
      <w:lvlJc w:val="left"/>
      <w:pPr>
        <w:ind w:left="7152" w:hanging="360"/>
      </w:pPr>
      <w:rPr>
        <w:rFonts w:ascii="Wingdings" w:hAnsi="Wingdings" w:hint="default"/>
      </w:rPr>
    </w:lvl>
    <w:lvl w:ilvl="6" w:tplc="080C0001" w:tentative="1">
      <w:start w:val="1"/>
      <w:numFmt w:val="bullet"/>
      <w:lvlText w:val=""/>
      <w:lvlJc w:val="left"/>
      <w:pPr>
        <w:ind w:left="7872" w:hanging="360"/>
      </w:pPr>
      <w:rPr>
        <w:rFonts w:ascii="Symbol" w:hAnsi="Symbol" w:hint="default"/>
      </w:rPr>
    </w:lvl>
    <w:lvl w:ilvl="7" w:tplc="080C0003" w:tentative="1">
      <w:start w:val="1"/>
      <w:numFmt w:val="bullet"/>
      <w:lvlText w:val="o"/>
      <w:lvlJc w:val="left"/>
      <w:pPr>
        <w:ind w:left="8592" w:hanging="360"/>
      </w:pPr>
      <w:rPr>
        <w:rFonts w:ascii="Courier New" w:hAnsi="Courier New" w:cs="Courier New" w:hint="default"/>
      </w:rPr>
    </w:lvl>
    <w:lvl w:ilvl="8" w:tplc="080C0005" w:tentative="1">
      <w:start w:val="1"/>
      <w:numFmt w:val="bullet"/>
      <w:lvlText w:val=""/>
      <w:lvlJc w:val="left"/>
      <w:pPr>
        <w:ind w:left="9312" w:hanging="360"/>
      </w:pPr>
      <w:rPr>
        <w:rFonts w:ascii="Wingdings" w:hAnsi="Wingdings" w:hint="default"/>
      </w:rPr>
    </w:lvl>
  </w:abstractNum>
  <w:abstractNum w:abstractNumId="12">
    <w:nsid w:val="34F601DF"/>
    <w:multiLevelType w:val="hybridMultilevel"/>
    <w:tmpl w:val="D85239E6"/>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3">
    <w:nsid w:val="38F07C22"/>
    <w:multiLevelType w:val="hybridMultilevel"/>
    <w:tmpl w:val="F0B4E6F8"/>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4">
    <w:nsid w:val="397B6C51"/>
    <w:multiLevelType w:val="hybridMultilevel"/>
    <w:tmpl w:val="75407B68"/>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5">
    <w:nsid w:val="39A77508"/>
    <w:multiLevelType w:val="hybridMultilevel"/>
    <w:tmpl w:val="23AA840A"/>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6">
    <w:nsid w:val="3BEB72D9"/>
    <w:multiLevelType w:val="hybridMultilevel"/>
    <w:tmpl w:val="881894F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CFB2B17"/>
    <w:multiLevelType w:val="hybridMultilevel"/>
    <w:tmpl w:val="8870A564"/>
    <w:lvl w:ilvl="0" w:tplc="080C000F">
      <w:start w:val="1"/>
      <w:numFmt w:val="decimal"/>
      <w:lvlText w:val="%1."/>
      <w:lvlJc w:val="left"/>
      <w:pPr>
        <w:ind w:left="6732" w:hanging="360"/>
      </w:pPr>
      <w:rPr>
        <w:rFonts w:hint="default"/>
      </w:rPr>
    </w:lvl>
    <w:lvl w:ilvl="1" w:tplc="080C0003" w:tentative="1">
      <w:start w:val="1"/>
      <w:numFmt w:val="bullet"/>
      <w:lvlText w:val="o"/>
      <w:lvlJc w:val="left"/>
      <w:pPr>
        <w:ind w:left="7452" w:hanging="360"/>
      </w:pPr>
      <w:rPr>
        <w:rFonts w:ascii="Courier New" w:hAnsi="Courier New" w:cs="Courier New" w:hint="default"/>
      </w:rPr>
    </w:lvl>
    <w:lvl w:ilvl="2" w:tplc="080C0005" w:tentative="1">
      <w:start w:val="1"/>
      <w:numFmt w:val="bullet"/>
      <w:lvlText w:val=""/>
      <w:lvlJc w:val="left"/>
      <w:pPr>
        <w:ind w:left="8172" w:hanging="360"/>
      </w:pPr>
      <w:rPr>
        <w:rFonts w:ascii="Wingdings" w:hAnsi="Wingdings" w:hint="default"/>
      </w:rPr>
    </w:lvl>
    <w:lvl w:ilvl="3" w:tplc="080C0001" w:tentative="1">
      <w:start w:val="1"/>
      <w:numFmt w:val="bullet"/>
      <w:lvlText w:val=""/>
      <w:lvlJc w:val="left"/>
      <w:pPr>
        <w:ind w:left="8892" w:hanging="360"/>
      </w:pPr>
      <w:rPr>
        <w:rFonts w:ascii="Symbol" w:hAnsi="Symbol" w:hint="default"/>
      </w:rPr>
    </w:lvl>
    <w:lvl w:ilvl="4" w:tplc="080C0003" w:tentative="1">
      <w:start w:val="1"/>
      <w:numFmt w:val="bullet"/>
      <w:lvlText w:val="o"/>
      <w:lvlJc w:val="left"/>
      <w:pPr>
        <w:ind w:left="9612" w:hanging="360"/>
      </w:pPr>
      <w:rPr>
        <w:rFonts w:ascii="Courier New" w:hAnsi="Courier New" w:cs="Courier New" w:hint="default"/>
      </w:rPr>
    </w:lvl>
    <w:lvl w:ilvl="5" w:tplc="080C0005" w:tentative="1">
      <w:start w:val="1"/>
      <w:numFmt w:val="bullet"/>
      <w:lvlText w:val=""/>
      <w:lvlJc w:val="left"/>
      <w:pPr>
        <w:ind w:left="10332" w:hanging="360"/>
      </w:pPr>
      <w:rPr>
        <w:rFonts w:ascii="Wingdings" w:hAnsi="Wingdings" w:hint="default"/>
      </w:rPr>
    </w:lvl>
    <w:lvl w:ilvl="6" w:tplc="080C0001" w:tentative="1">
      <w:start w:val="1"/>
      <w:numFmt w:val="bullet"/>
      <w:lvlText w:val=""/>
      <w:lvlJc w:val="left"/>
      <w:pPr>
        <w:ind w:left="11052" w:hanging="360"/>
      </w:pPr>
      <w:rPr>
        <w:rFonts w:ascii="Symbol" w:hAnsi="Symbol" w:hint="default"/>
      </w:rPr>
    </w:lvl>
    <w:lvl w:ilvl="7" w:tplc="080C0003" w:tentative="1">
      <w:start w:val="1"/>
      <w:numFmt w:val="bullet"/>
      <w:lvlText w:val="o"/>
      <w:lvlJc w:val="left"/>
      <w:pPr>
        <w:ind w:left="11772" w:hanging="360"/>
      </w:pPr>
      <w:rPr>
        <w:rFonts w:ascii="Courier New" w:hAnsi="Courier New" w:cs="Courier New" w:hint="default"/>
      </w:rPr>
    </w:lvl>
    <w:lvl w:ilvl="8" w:tplc="080C0005" w:tentative="1">
      <w:start w:val="1"/>
      <w:numFmt w:val="bullet"/>
      <w:lvlText w:val=""/>
      <w:lvlJc w:val="left"/>
      <w:pPr>
        <w:ind w:left="12492" w:hanging="360"/>
      </w:pPr>
      <w:rPr>
        <w:rFonts w:ascii="Wingdings" w:hAnsi="Wingdings" w:hint="default"/>
      </w:rPr>
    </w:lvl>
  </w:abstractNum>
  <w:abstractNum w:abstractNumId="18">
    <w:nsid w:val="41686EB6"/>
    <w:multiLevelType w:val="hybridMultilevel"/>
    <w:tmpl w:val="7C2C02BA"/>
    <w:lvl w:ilvl="0" w:tplc="157A5C04">
      <w:numFmt w:val="bullet"/>
      <w:lvlText w:val="-"/>
      <w:lvlJc w:val="left"/>
      <w:pPr>
        <w:ind w:left="2988" w:hanging="360"/>
      </w:pPr>
      <w:rPr>
        <w:rFonts w:ascii="Calibri" w:eastAsia="Times New Roman" w:hAnsi="Calibri" w:cs="Times New Roman"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19">
    <w:nsid w:val="45AF1403"/>
    <w:multiLevelType w:val="hybridMultilevel"/>
    <w:tmpl w:val="BB2AEF36"/>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0">
    <w:nsid w:val="470018FD"/>
    <w:multiLevelType w:val="hybridMultilevel"/>
    <w:tmpl w:val="85243292"/>
    <w:lvl w:ilvl="0" w:tplc="C91CE7A0">
      <w:numFmt w:val="bullet"/>
      <w:lvlText w:val="-"/>
      <w:lvlJc w:val="left"/>
      <w:pPr>
        <w:ind w:left="2520" w:hanging="360"/>
      </w:pPr>
      <w:rPr>
        <w:rFonts w:ascii="Arial" w:eastAsiaTheme="minorEastAsia" w:hAnsi="Arial" w:cs="Aria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1">
    <w:nsid w:val="4E3048A3"/>
    <w:multiLevelType w:val="hybridMultilevel"/>
    <w:tmpl w:val="B18859F4"/>
    <w:lvl w:ilvl="0" w:tplc="6DACE2D8">
      <w:numFmt w:val="bullet"/>
      <w:lvlText w:val="-"/>
      <w:lvlJc w:val="left"/>
      <w:pPr>
        <w:ind w:left="2759" w:hanging="360"/>
      </w:pPr>
      <w:rPr>
        <w:rFonts w:ascii="Arial" w:eastAsiaTheme="majorEastAsia" w:hAnsi="Arial" w:cs="Arial" w:hint="default"/>
      </w:rPr>
    </w:lvl>
    <w:lvl w:ilvl="1" w:tplc="080C0003" w:tentative="1">
      <w:start w:val="1"/>
      <w:numFmt w:val="bullet"/>
      <w:lvlText w:val="o"/>
      <w:lvlJc w:val="left"/>
      <w:pPr>
        <w:ind w:left="3479" w:hanging="360"/>
      </w:pPr>
      <w:rPr>
        <w:rFonts w:ascii="Courier New" w:hAnsi="Courier New" w:cs="Courier New" w:hint="default"/>
      </w:rPr>
    </w:lvl>
    <w:lvl w:ilvl="2" w:tplc="080C0005" w:tentative="1">
      <w:start w:val="1"/>
      <w:numFmt w:val="bullet"/>
      <w:lvlText w:val=""/>
      <w:lvlJc w:val="left"/>
      <w:pPr>
        <w:ind w:left="4199" w:hanging="360"/>
      </w:pPr>
      <w:rPr>
        <w:rFonts w:ascii="Wingdings" w:hAnsi="Wingdings" w:hint="default"/>
      </w:rPr>
    </w:lvl>
    <w:lvl w:ilvl="3" w:tplc="080C0001" w:tentative="1">
      <w:start w:val="1"/>
      <w:numFmt w:val="bullet"/>
      <w:lvlText w:val=""/>
      <w:lvlJc w:val="left"/>
      <w:pPr>
        <w:ind w:left="4919" w:hanging="360"/>
      </w:pPr>
      <w:rPr>
        <w:rFonts w:ascii="Symbol" w:hAnsi="Symbol" w:hint="default"/>
      </w:rPr>
    </w:lvl>
    <w:lvl w:ilvl="4" w:tplc="080C0003" w:tentative="1">
      <w:start w:val="1"/>
      <w:numFmt w:val="bullet"/>
      <w:lvlText w:val="o"/>
      <w:lvlJc w:val="left"/>
      <w:pPr>
        <w:ind w:left="5639" w:hanging="360"/>
      </w:pPr>
      <w:rPr>
        <w:rFonts w:ascii="Courier New" w:hAnsi="Courier New" w:cs="Courier New" w:hint="default"/>
      </w:rPr>
    </w:lvl>
    <w:lvl w:ilvl="5" w:tplc="080C0005" w:tentative="1">
      <w:start w:val="1"/>
      <w:numFmt w:val="bullet"/>
      <w:lvlText w:val=""/>
      <w:lvlJc w:val="left"/>
      <w:pPr>
        <w:ind w:left="6359" w:hanging="360"/>
      </w:pPr>
      <w:rPr>
        <w:rFonts w:ascii="Wingdings" w:hAnsi="Wingdings" w:hint="default"/>
      </w:rPr>
    </w:lvl>
    <w:lvl w:ilvl="6" w:tplc="080C0001" w:tentative="1">
      <w:start w:val="1"/>
      <w:numFmt w:val="bullet"/>
      <w:lvlText w:val=""/>
      <w:lvlJc w:val="left"/>
      <w:pPr>
        <w:ind w:left="7079" w:hanging="360"/>
      </w:pPr>
      <w:rPr>
        <w:rFonts w:ascii="Symbol" w:hAnsi="Symbol" w:hint="default"/>
      </w:rPr>
    </w:lvl>
    <w:lvl w:ilvl="7" w:tplc="080C0003" w:tentative="1">
      <w:start w:val="1"/>
      <w:numFmt w:val="bullet"/>
      <w:lvlText w:val="o"/>
      <w:lvlJc w:val="left"/>
      <w:pPr>
        <w:ind w:left="7799" w:hanging="360"/>
      </w:pPr>
      <w:rPr>
        <w:rFonts w:ascii="Courier New" w:hAnsi="Courier New" w:cs="Courier New" w:hint="default"/>
      </w:rPr>
    </w:lvl>
    <w:lvl w:ilvl="8" w:tplc="080C0005" w:tentative="1">
      <w:start w:val="1"/>
      <w:numFmt w:val="bullet"/>
      <w:lvlText w:val=""/>
      <w:lvlJc w:val="left"/>
      <w:pPr>
        <w:ind w:left="8519" w:hanging="360"/>
      </w:pPr>
      <w:rPr>
        <w:rFonts w:ascii="Wingdings" w:hAnsi="Wingdings" w:hint="default"/>
      </w:rPr>
    </w:lvl>
  </w:abstractNum>
  <w:abstractNum w:abstractNumId="22">
    <w:nsid w:val="56A96968"/>
    <w:multiLevelType w:val="hybridMultilevel"/>
    <w:tmpl w:val="F656EE42"/>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23">
    <w:nsid w:val="594623D9"/>
    <w:multiLevelType w:val="hybridMultilevel"/>
    <w:tmpl w:val="5560D4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A3144E3"/>
    <w:multiLevelType w:val="hybridMultilevel"/>
    <w:tmpl w:val="DC846868"/>
    <w:lvl w:ilvl="0" w:tplc="080C0001">
      <w:start w:val="1"/>
      <w:numFmt w:val="bullet"/>
      <w:lvlText w:val=""/>
      <w:lvlJc w:val="left"/>
      <w:pPr>
        <w:ind w:left="2484" w:hanging="360"/>
      </w:pPr>
      <w:rPr>
        <w:rFonts w:ascii="Symbol" w:hAnsi="Symbol" w:hint="default"/>
        <w:b/>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25">
    <w:nsid w:val="5DE96B23"/>
    <w:multiLevelType w:val="hybridMultilevel"/>
    <w:tmpl w:val="C620750C"/>
    <w:lvl w:ilvl="0" w:tplc="31E48366">
      <w:numFmt w:val="bullet"/>
      <w:lvlText w:val="-"/>
      <w:lvlJc w:val="left"/>
      <w:pPr>
        <w:ind w:left="3130" w:hanging="360"/>
      </w:pPr>
      <w:rPr>
        <w:rFonts w:ascii="Calibri" w:eastAsia="Times New Roman" w:hAnsi="Calibri" w:cs="Times New Roman" w:hint="default"/>
      </w:rPr>
    </w:lvl>
    <w:lvl w:ilvl="1" w:tplc="080C0003" w:tentative="1">
      <w:start w:val="1"/>
      <w:numFmt w:val="bullet"/>
      <w:lvlText w:val="o"/>
      <w:lvlJc w:val="left"/>
      <w:pPr>
        <w:ind w:left="3850" w:hanging="360"/>
      </w:pPr>
      <w:rPr>
        <w:rFonts w:ascii="Courier New" w:hAnsi="Courier New" w:cs="Courier New"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26">
    <w:nsid w:val="602D6BB9"/>
    <w:multiLevelType w:val="hybridMultilevel"/>
    <w:tmpl w:val="E73CA2D0"/>
    <w:lvl w:ilvl="0" w:tplc="AA68E83A">
      <w:start w:val="2"/>
      <w:numFmt w:val="decimal"/>
      <w:lvlText w:val="%1."/>
      <w:lvlJc w:val="left"/>
      <w:pPr>
        <w:ind w:left="177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93D1B1A"/>
    <w:multiLevelType w:val="hybridMultilevel"/>
    <w:tmpl w:val="BBD6B440"/>
    <w:lvl w:ilvl="0" w:tplc="34D41BB8">
      <w:numFmt w:val="bullet"/>
      <w:lvlText w:val="-"/>
      <w:lvlJc w:val="left"/>
      <w:pPr>
        <w:ind w:left="2617" w:hanging="360"/>
      </w:pPr>
      <w:rPr>
        <w:rFonts w:ascii="Arial" w:eastAsiaTheme="majorEastAsia" w:hAnsi="Arial" w:cs="Arial" w:hint="default"/>
      </w:rPr>
    </w:lvl>
    <w:lvl w:ilvl="1" w:tplc="080C0003" w:tentative="1">
      <w:start w:val="1"/>
      <w:numFmt w:val="bullet"/>
      <w:lvlText w:val="o"/>
      <w:lvlJc w:val="left"/>
      <w:pPr>
        <w:ind w:left="3337" w:hanging="360"/>
      </w:pPr>
      <w:rPr>
        <w:rFonts w:ascii="Courier New" w:hAnsi="Courier New" w:cs="Courier New" w:hint="default"/>
      </w:rPr>
    </w:lvl>
    <w:lvl w:ilvl="2" w:tplc="080C0005" w:tentative="1">
      <w:start w:val="1"/>
      <w:numFmt w:val="bullet"/>
      <w:lvlText w:val=""/>
      <w:lvlJc w:val="left"/>
      <w:pPr>
        <w:ind w:left="4057" w:hanging="360"/>
      </w:pPr>
      <w:rPr>
        <w:rFonts w:ascii="Wingdings" w:hAnsi="Wingdings" w:hint="default"/>
      </w:rPr>
    </w:lvl>
    <w:lvl w:ilvl="3" w:tplc="080C0001" w:tentative="1">
      <w:start w:val="1"/>
      <w:numFmt w:val="bullet"/>
      <w:lvlText w:val=""/>
      <w:lvlJc w:val="left"/>
      <w:pPr>
        <w:ind w:left="4777" w:hanging="360"/>
      </w:pPr>
      <w:rPr>
        <w:rFonts w:ascii="Symbol" w:hAnsi="Symbol" w:hint="default"/>
      </w:rPr>
    </w:lvl>
    <w:lvl w:ilvl="4" w:tplc="080C0003" w:tentative="1">
      <w:start w:val="1"/>
      <w:numFmt w:val="bullet"/>
      <w:lvlText w:val="o"/>
      <w:lvlJc w:val="left"/>
      <w:pPr>
        <w:ind w:left="5497" w:hanging="360"/>
      </w:pPr>
      <w:rPr>
        <w:rFonts w:ascii="Courier New" w:hAnsi="Courier New" w:cs="Courier New" w:hint="default"/>
      </w:rPr>
    </w:lvl>
    <w:lvl w:ilvl="5" w:tplc="080C0005" w:tentative="1">
      <w:start w:val="1"/>
      <w:numFmt w:val="bullet"/>
      <w:lvlText w:val=""/>
      <w:lvlJc w:val="left"/>
      <w:pPr>
        <w:ind w:left="6217" w:hanging="360"/>
      </w:pPr>
      <w:rPr>
        <w:rFonts w:ascii="Wingdings" w:hAnsi="Wingdings" w:hint="default"/>
      </w:rPr>
    </w:lvl>
    <w:lvl w:ilvl="6" w:tplc="080C0001" w:tentative="1">
      <w:start w:val="1"/>
      <w:numFmt w:val="bullet"/>
      <w:lvlText w:val=""/>
      <w:lvlJc w:val="left"/>
      <w:pPr>
        <w:ind w:left="6937" w:hanging="360"/>
      </w:pPr>
      <w:rPr>
        <w:rFonts w:ascii="Symbol" w:hAnsi="Symbol" w:hint="default"/>
      </w:rPr>
    </w:lvl>
    <w:lvl w:ilvl="7" w:tplc="080C0003" w:tentative="1">
      <w:start w:val="1"/>
      <w:numFmt w:val="bullet"/>
      <w:lvlText w:val="o"/>
      <w:lvlJc w:val="left"/>
      <w:pPr>
        <w:ind w:left="7657" w:hanging="360"/>
      </w:pPr>
      <w:rPr>
        <w:rFonts w:ascii="Courier New" w:hAnsi="Courier New" w:cs="Courier New" w:hint="default"/>
      </w:rPr>
    </w:lvl>
    <w:lvl w:ilvl="8" w:tplc="080C0005" w:tentative="1">
      <w:start w:val="1"/>
      <w:numFmt w:val="bullet"/>
      <w:lvlText w:val=""/>
      <w:lvlJc w:val="left"/>
      <w:pPr>
        <w:ind w:left="8377" w:hanging="360"/>
      </w:pPr>
      <w:rPr>
        <w:rFonts w:ascii="Wingdings" w:hAnsi="Wingdings" w:hint="default"/>
      </w:rPr>
    </w:lvl>
  </w:abstractNum>
  <w:abstractNum w:abstractNumId="28">
    <w:nsid w:val="6BA61592"/>
    <w:multiLevelType w:val="hybridMultilevel"/>
    <w:tmpl w:val="7A58FAC2"/>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29">
    <w:nsid w:val="6D9116B0"/>
    <w:multiLevelType w:val="hybridMultilevel"/>
    <w:tmpl w:val="5D1C851A"/>
    <w:lvl w:ilvl="0" w:tplc="31E48366">
      <w:numFmt w:val="bullet"/>
      <w:lvlText w:val="-"/>
      <w:lvlJc w:val="left"/>
      <w:pPr>
        <w:tabs>
          <w:tab w:val="num" w:pos="1068"/>
        </w:tabs>
        <w:ind w:left="1068" w:hanging="360"/>
      </w:pPr>
      <w:rPr>
        <w:rFonts w:ascii="Calibri" w:eastAsia="Times New Roman" w:hAnsi="Calibri"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0">
    <w:nsid w:val="6E1B4708"/>
    <w:multiLevelType w:val="hybridMultilevel"/>
    <w:tmpl w:val="3606D5E6"/>
    <w:lvl w:ilvl="0" w:tplc="35125A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3345F3C"/>
    <w:multiLevelType w:val="hybridMultilevel"/>
    <w:tmpl w:val="B100FB7C"/>
    <w:lvl w:ilvl="0" w:tplc="080C000F">
      <w:start w:val="1"/>
      <w:numFmt w:val="decimal"/>
      <w:lvlText w:val="%1."/>
      <w:lvlJc w:val="left"/>
      <w:pPr>
        <w:ind w:left="2880" w:hanging="360"/>
      </w:pPr>
    </w:lvl>
    <w:lvl w:ilvl="1" w:tplc="080C0019" w:tentative="1">
      <w:start w:val="1"/>
      <w:numFmt w:val="lowerLetter"/>
      <w:lvlText w:val="%2."/>
      <w:lvlJc w:val="left"/>
      <w:pPr>
        <w:ind w:left="3600" w:hanging="360"/>
      </w:pPr>
    </w:lvl>
    <w:lvl w:ilvl="2" w:tplc="080C001B" w:tentative="1">
      <w:start w:val="1"/>
      <w:numFmt w:val="lowerRoman"/>
      <w:lvlText w:val="%3."/>
      <w:lvlJc w:val="right"/>
      <w:pPr>
        <w:ind w:left="4320" w:hanging="180"/>
      </w:pPr>
    </w:lvl>
    <w:lvl w:ilvl="3" w:tplc="080C000F" w:tentative="1">
      <w:start w:val="1"/>
      <w:numFmt w:val="decimal"/>
      <w:lvlText w:val="%4."/>
      <w:lvlJc w:val="left"/>
      <w:pPr>
        <w:ind w:left="5040" w:hanging="360"/>
      </w:pPr>
    </w:lvl>
    <w:lvl w:ilvl="4" w:tplc="080C0019" w:tentative="1">
      <w:start w:val="1"/>
      <w:numFmt w:val="lowerLetter"/>
      <w:lvlText w:val="%5."/>
      <w:lvlJc w:val="left"/>
      <w:pPr>
        <w:ind w:left="5760" w:hanging="360"/>
      </w:pPr>
    </w:lvl>
    <w:lvl w:ilvl="5" w:tplc="080C001B" w:tentative="1">
      <w:start w:val="1"/>
      <w:numFmt w:val="lowerRoman"/>
      <w:lvlText w:val="%6."/>
      <w:lvlJc w:val="right"/>
      <w:pPr>
        <w:ind w:left="6480" w:hanging="180"/>
      </w:pPr>
    </w:lvl>
    <w:lvl w:ilvl="6" w:tplc="080C000F" w:tentative="1">
      <w:start w:val="1"/>
      <w:numFmt w:val="decimal"/>
      <w:lvlText w:val="%7."/>
      <w:lvlJc w:val="left"/>
      <w:pPr>
        <w:ind w:left="7200" w:hanging="360"/>
      </w:pPr>
    </w:lvl>
    <w:lvl w:ilvl="7" w:tplc="080C0019" w:tentative="1">
      <w:start w:val="1"/>
      <w:numFmt w:val="lowerLetter"/>
      <w:lvlText w:val="%8."/>
      <w:lvlJc w:val="left"/>
      <w:pPr>
        <w:ind w:left="7920" w:hanging="360"/>
      </w:pPr>
    </w:lvl>
    <w:lvl w:ilvl="8" w:tplc="080C001B" w:tentative="1">
      <w:start w:val="1"/>
      <w:numFmt w:val="lowerRoman"/>
      <w:lvlText w:val="%9."/>
      <w:lvlJc w:val="right"/>
      <w:pPr>
        <w:ind w:left="8640" w:hanging="180"/>
      </w:pPr>
    </w:lvl>
  </w:abstractNum>
  <w:abstractNum w:abstractNumId="32">
    <w:nsid w:val="73D8791F"/>
    <w:multiLevelType w:val="hybridMultilevel"/>
    <w:tmpl w:val="D19853C6"/>
    <w:lvl w:ilvl="0" w:tplc="31E48366">
      <w:numFmt w:val="bullet"/>
      <w:lvlText w:val="-"/>
      <w:lvlJc w:val="left"/>
      <w:pPr>
        <w:ind w:left="2880" w:hanging="360"/>
      </w:pPr>
      <w:rPr>
        <w:rFonts w:ascii="Calibri" w:eastAsia="Times New Roman" w:hAnsi="Calibri"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33">
    <w:nsid w:val="73E16295"/>
    <w:multiLevelType w:val="hybridMultilevel"/>
    <w:tmpl w:val="632AD704"/>
    <w:lvl w:ilvl="0" w:tplc="31E48366">
      <w:numFmt w:val="bullet"/>
      <w:lvlText w:val="-"/>
      <w:lvlJc w:val="left"/>
      <w:pPr>
        <w:ind w:left="3130" w:hanging="360"/>
      </w:pPr>
      <w:rPr>
        <w:rFonts w:ascii="Calibri" w:eastAsia="Times New Roman" w:hAnsi="Calibri" w:cs="Times New Roman" w:hint="default"/>
      </w:rPr>
    </w:lvl>
    <w:lvl w:ilvl="1" w:tplc="080C0003" w:tentative="1">
      <w:start w:val="1"/>
      <w:numFmt w:val="bullet"/>
      <w:lvlText w:val="o"/>
      <w:lvlJc w:val="left"/>
      <w:pPr>
        <w:ind w:left="3850" w:hanging="360"/>
      </w:pPr>
      <w:rPr>
        <w:rFonts w:ascii="Courier New" w:hAnsi="Courier New" w:cs="Courier New"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num w:numId="1">
    <w:abstractNumId w:val="30"/>
  </w:num>
  <w:num w:numId="2">
    <w:abstractNumId w:val="28"/>
  </w:num>
  <w:num w:numId="3">
    <w:abstractNumId w:val="5"/>
  </w:num>
  <w:num w:numId="4">
    <w:abstractNumId w:val="23"/>
  </w:num>
  <w:num w:numId="5">
    <w:abstractNumId w:val="2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9"/>
  </w:num>
  <w:num w:numId="10">
    <w:abstractNumId w:val="7"/>
  </w:num>
  <w:num w:numId="11">
    <w:abstractNumId w:val="24"/>
  </w:num>
  <w:num w:numId="12">
    <w:abstractNumId w:val="6"/>
  </w:num>
  <w:num w:numId="13">
    <w:abstractNumId w:val="26"/>
  </w:num>
  <w:num w:numId="14">
    <w:abstractNumId w:val="10"/>
  </w:num>
  <w:num w:numId="15">
    <w:abstractNumId w:val="31"/>
  </w:num>
  <w:num w:numId="16">
    <w:abstractNumId w:val="1"/>
  </w:num>
  <w:num w:numId="17">
    <w:abstractNumId w:val="12"/>
  </w:num>
  <w:num w:numId="18">
    <w:abstractNumId w:val="15"/>
  </w:num>
  <w:num w:numId="19">
    <w:abstractNumId w:val="3"/>
  </w:num>
  <w:num w:numId="20">
    <w:abstractNumId w:val="20"/>
  </w:num>
  <w:num w:numId="21">
    <w:abstractNumId w:val="21"/>
  </w:num>
  <w:num w:numId="22">
    <w:abstractNumId w:val="2"/>
  </w:num>
  <w:num w:numId="23">
    <w:abstractNumId w:val="33"/>
  </w:num>
  <w:num w:numId="24">
    <w:abstractNumId w:val="4"/>
  </w:num>
  <w:num w:numId="25">
    <w:abstractNumId w:val="0"/>
  </w:num>
  <w:num w:numId="26">
    <w:abstractNumId w:val="22"/>
  </w:num>
  <w:num w:numId="27">
    <w:abstractNumId w:val="32"/>
  </w:num>
  <w:num w:numId="28">
    <w:abstractNumId w:val="25"/>
  </w:num>
  <w:num w:numId="29">
    <w:abstractNumId w:val="14"/>
  </w:num>
  <w:num w:numId="30">
    <w:abstractNumId w:val="13"/>
  </w:num>
  <w:num w:numId="31">
    <w:abstractNumId w:val="18"/>
  </w:num>
  <w:num w:numId="32">
    <w:abstractNumId w:val="11"/>
  </w:num>
  <w:num w:numId="33">
    <w:abstractNumId w:val="27"/>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A7"/>
    <w:rsid w:val="00007102"/>
    <w:rsid w:val="00011711"/>
    <w:rsid w:val="00014420"/>
    <w:rsid w:val="00014ED0"/>
    <w:rsid w:val="00015DDA"/>
    <w:rsid w:val="0002078D"/>
    <w:rsid w:val="00022F6D"/>
    <w:rsid w:val="000243DB"/>
    <w:rsid w:val="00024C58"/>
    <w:rsid w:val="000266B8"/>
    <w:rsid w:val="00026C6F"/>
    <w:rsid w:val="00033A17"/>
    <w:rsid w:val="00034156"/>
    <w:rsid w:val="00034330"/>
    <w:rsid w:val="00035552"/>
    <w:rsid w:val="0003614C"/>
    <w:rsid w:val="00040438"/>
    <w:rsid w:val="00040A0B"/>
    <w:rsid w:val="0004288C"/>
    <w:rsid w:val="0004360C"/>
    <w:rsid w:val="00043626"/>
    <w:rsid w:val="0004403D"/>
    <w:rsid w:val="00050523"/>
    <w:rsid w:val="00051286"/>
    <w:rsid w:val="00051B18"/>
    <w:rsid w:val="00052C9A"/>
    <w:rsid w:val="00055C1E"/>
    <w:rsid w:val="00070F02"/>
    <w:rsid w:val="00072546"/>
    <w:rsid w:val="00074C8A"/>
    <w:rsid w:val="00085A29"/>
    <w:rsid w:val="0008661A"/>
    <w:rsid w:val="00086F39"/>
    <w:rsid w:val="00090A4E"/>
    <w:rsid w:val="00096BAE"/>
    <w:rsid w:val="000A22AE"/>
    <w:rsid w:val="000A3542"/>
    <w:rsid w:val="000A4113"/>
    <w:rsid w:val="000B5739"/>
    <w:rsid w:val="000C2547"/>
    <w:rsid w:val="000C3C5A"/>
    <w:rsid w:val="000C457C"/>
    <w:rsid w:val="000C4955"/>
    <w:rsid w:val="000C700D"/>
    <w:rsid w:val="000D1728"/>
    <w:rsid w:val="000D1DB5"/>
    <w:rsid w:val="000D2BFC"/>
    <w:rsid w:val="000D38A6"/>
    <w:rsid w:val="000E18ED"/>
    <w:rsid w:val="000E2D4D"/>
    <w:rsid w:val="000F188E"/>
    <w:rsid w:val="000F501B"/>
    <w:rsid w:val="000F56A7"/>
    <w:rsid w:val="0010057A"/>
    <w:rsid w:val="00100B51"/>
    <w:rsid w:val="00102953"/>
    <w:rsid w:val="001040E6"/>
    <w:rsid w:val="00105721"/>
    <w:rsid w:val="00110AFE"/>
    <w:rsid w:val="00120A7B"/>
    <w:rsid w:val="00124785"/>
    <w:rsid w:val="001305BA"/>
    <w:rsid w:val="001311BE"/>
    <w:rsid w:val="0013296B"/>
    <w:rsid w:val="001416FA"/>
    <w:rsid w:val="001469CA"/>
    <w:rsid w:val="00146B08"/>
    <w:rsid w:val="0015131A"/>
    <w:rsid w:val="0015374B"/>
    <w:rsid w:val="001551FD"/>
    <w:rsid w:val="0016444B"/>
    <w:rsid w:val="001663F2"/>
    <w:rsid w:val="001673BB"/>
    <w:rsid w:val="001823BE"/>
    <w:rsid w:val="0018528A"/>
    <w:rsid w:val="00190A82"/>
    <w:rsid w:val="001916A4"/>
    <w:rsid w:val="001A5161"/>
    <w:rsid w:val="001A535A"/>
    <w:rsid w:val="001A5DDC"/>
    <w:rsid w:val="001B0563"/>
    <w:rsid w:val="001B2105"/>
    <w:rsid w:val="001B2AB1"/>
    <w:rsid w:val="001B59CF"/>
    <w:rsid w:val="001B7335"/>
    <w:rsid w:val="001C1744"/>
    <w:rsid w:val="001C296B"/>
    <w:rsid w:val="001C3476"/>
    <w:rsid w:val="001C3919"/>
    <w:rsid w:val="001C3EE2"/>
    <w:rsid w:val="001D0D5A"/>
    <w:rsid w:val="001D23F6"/>
    <w:rsid w:val="001D2D00"/>
    <w:rsid w:val="001E2927"/>
    <w:rsid w:val="001E4692"/>
    <w:rsid w:val="001E7FF8"/>
    <w:rsid w:val="001F2956"/>
    <w:rsid w:val="001F5EC0"/>
    <w:rsid w:val="0020031D"/>
    <w:rsid w:val="0020450F"/>
    <w:rsid w:val="002072FA"/>
    <w:rsid w:val="00207A4E"/>
    <w:rsid w:val="00212434"/>
    <w:rsid w:val="00213A1E"/>
    <w:rsid w:val="00214AAB"/>
    <w:rsid w:val="00214B26"/>
    <w:rsid w:val="00215C79"/>
    <w:rsid w:val="002248AB"/>
    <w:rsid w:val="002265FD"/>
    <w:rsid w:val="002276C1"/>
    <w:rsid w:val="00232B36"/>
    <w:rsid w:val="00237C24"/>
    <w:rsid w:val="002414F4"/>
    <w:rsid w:val="002457A3"/>
    <w:rsid w:val="00245F34"/>
    <w:rsid w:val="002512B8"/>
    <w:rsid w:val="00262B96"/>
    <w:rsid w:val="00263639"/>
    <w:rsid w:val="00266423"/>
    <w:rsid w:val="00280A3C"/>
    <w:rsid w:val="00295F3F"/>
    <w:rsid w:val="002A343E"/>
    <w:rsid w:val="002B44E4"/>
    <w:rsid w:val="002B5038"/>
    <w:rsid w:val="002B61E5"/>
    <w:rsid w:val="002D40B3"/>
    <w:rsid w:val="002D52E8"/>
    <w:rsid w:val="002D6D21"/>
    <w:rsid w:val="002D7C1D"/>
    <w:rsid w:val="002E2438"/>
    <w:rsid w:val="002E29E0"/>
    <w:rsid w:val="002E4F7D"/>
    <w:rsid w:val="002F279B"/>
    <w:rsid w:val="002F2A7A"/>
    <w:rsid w:val="002F3F77"/>
    <w:rsid w:val="00302D05"/>
    <w:rsid w:val="003058DB"/>
    <w:rsid w:val="0030659A"/>
    <w:rsid w:val="00315B06"/>
    <w:rsid w:val="00325BAE"/>
    <w:rsid w:val="00333B9C"/>
    <w:rsid w:val="00341F1B"/>
    <w:rsid w:val="00346543"/>
    <w:rsid w:val="00347155"/>
    <w:rsid w:val="0035070D"/>
    <w:rsid w:val="00350AB8"/>
    <w:rsid w:val="00351E0D"/>
    <w:rsid w:val="00354BBB"/>
    <w:rsid w:val="00356D43"/>
    <w:rsid w:val="003602E1"/>
    <w:rsid w:val="00361FB0"/>
    <w:rsid w:val="0036302B"/>
    <w:rsid w:val="00363D14"/>
    <w:rsid w:val="003640F0"/>
    <w:rsid w:val="003724EC"/>
    <w:rsid w:val="00375523"/>
    <w:rsid w:val="003775DF"/>
    <w:rsid w:val="00377612"/>
    <w:rsid w:val="0037761C"/>
    <w:rsid w:val="00380DFA"/>
    <w:rsid w:val="003838FA"/>
    <w:rsid w:val="003921EB"/>
    <w:rsid w:val="00395C59"/>
    <w:rsid w:val="00395D49"/>
    <w:rsid w:val="003A33C6"/>
    <w:rsid w:val="003A4A54"/>
    <w:rsid w:val="003A4FEB"/>
    <w:rsid w:val="003A5AD0"/>
    <w:rsid w:val="003B60AC"/>
    <w:rsid w:val="003B6BC8"/>
    <w:rsid w:val="003C1C3E"/>
    <w:rsid w:val="003C1DA5"/>
    <w:rsid w:val="003C30A3"/>
    <w:rsid w:val="003C539F"/>
    <w:rsid w:val="003C5BD8"/>
    <w:rsid w:val="003D15F8"/>
    <w:rsid w:val="003D2BAA"/>
    <w:rsid w:val="003D3283"/>
    <w:rsid w:val="003D49D8"/>
    <w:rsid w:val="003D6386"/>
    <w:rsid w:val="003D716A"/>
    <w:rsid w:val="003E0AEA"/>
    <w:rsid w:val="003E29A0"/>
    <w:rsid w:val="003E3ECF"/>
    <w:rsid w:val="003E53DE"/>
    <w:rsid w:val="003E67C8"/>
    <w:rsid w:val="003E726A"/>
    <w:rsid w:val="003E7EF2"/>
    <w:rsid w:val="003F0714"/>
    <w:rsid w:val="003F0CC6"/>
    <w:rsid w:val="003F1FEC"/>
    <w:rsid w:val="003F2D8A"/>
    <w:rsid w:val="003F65BB"/>
    <w:rsid w:val="00400F53"/>
    <w:rsid w:val="00402AD5"/>
    <w:rsid w:val="004049E3"/>
    <w:rsid w:val="00412895"/>
    <w:rsid w:val="00412D9F"/>
    <w:rsid w:val="00413491"/>
    <w:rsid w:val="0041651C"/>
    <w:rsid w:val="00417D02"/>
    <w:rsid w:val="004201E2"/>
    <w:rsid w:val="00423B93"/>
    <w:rsid w:val="0042508B"/>
    <w:rsid w:val="004258DC"/>
    <w:rsid w:val="004264AD"/>
    <w:rsid w:val="00427664"/>
    <w:rsid w:val="00431C5C"/>
    <w:rsid w:val="00432334"/>
    <w:rsid w:val="00440524"/>
    <w:rsid w:val="0044252E"/>
    <w:rsid w:val="00442724"/>
    <w:rsid w:val="004427A2"/>
    <w:rsid w:val="00445DDB"/>
    <w:rsid w:val="00447593"/>
    <w:rsid w:val="0045046E"/>
    <w:rsid w:val="00453185"/>
    <w:rsid w:val="00455BA0"/>
    <w:rsid w:val="0046400A"/>
    <w:rsid w:val="004654BC"/>
    <w:rsid w:val="00467834"/>
    <w:rsid w:val="004768D2"/>
    <w:rsid w:val="00481698"/>
    <w:rsid w:val="00482C93"/>
    <w:rsid w:val="004844B6"/>
    <w:rsid w:val="004905A8"/>
    <w:rsid w:val="00491DF1"/>
    <w:rsid w:val="0049370F"/>
    <w:rsid w:val="004A6B18"/>
    <w:rsid w:val="004A7E9C"/>
    <w:rsid w:val="004B0047"/>
    <w:rsid w:val="004B0D5A"/>
    <w:rsid w:val="004B189C"/>
    <w:rsid w:val="004B2AA6"/>
    <w:rsid w:val="004B4071"/>
    <w:rsid w:val="004C04EB"/>
    <w:rsid w:val="004C0B69"/>
    <w:rsid w:val="004C18DA"/>
    <w:rsid w:val="004C34FD"/>
    <w:rsid w:val="004C4430"/>
    <w:rsid w:val="004C7C81"/>
    <w:rsid w:val="004D3937"/>
    <w:rsid w:val="004D4379"/>
    <w:rsid w:val="004D5C3F"/>
    <w:rsid w:val="004D696F"/>
    <w:rsid w:val="004D7390"/>
    <w:rsid w:val="004E06F4"/>
    <w:rsid w:val="004E0FAC"/>
    <w:rsid w:val="004E346E"/>
    <w:rsid w:val="004E5315"/>
    <w:rsid w:val="004E6A87"/>
    <w:rsid w:val="004F3BD9"/>
    <w:rsid w:val="004F592C"/>
    <w:rsid w:val="004F5EEC"/>
    <w:rsid w:val="00501558"/>
    <w:rsid w:val="00502D61"/>
    <w:rsid w:val="00502F93"/>
    <w:rsid w:val="00504FDE"/>
    <w:rsid w:val="005056F3"/>
    <w:rsid w:val="00505827"/>
    <w:rsid w:val="0050719F"/>
    <w:rsid w:val="00514A95"/>
    <w:rsid w:val="00516821"/>
    <w:rsid w:val="00520A95"/>
    <w:rsid w:val="00520C61"/>
    <w:rsid w:val="0052159D"/>
    <w:rsid w:val="00522195"/>
    <w:rsid w:val="0052306D"/>
    <w:rsid w:val="005244D8"/>
    <w:rsid w:val="00531DA0"/>
    <w:rsid w:val="0053378A"/>
    <w:rsid w:val="00534B46"/>
    <w:rsid w:val="00534B62"/>
    <w:rsid w:val="00544B53"/>
    <w:rsid w:val="00545AF2"/>
    <w:rsid w:val="005465FA"/>
    <w:rsid w:val="005502EA"/>
    <w:rsid w:val="005521F2"/>
    <w:rsid w:val="00554876"/>
    <w:rsid w:val="00555DD9"/>
    <w:rsid w:val="00560C39"/>
    <w:rsid w:val="005623BC"/>
    <w:rsid w:val="00567053"/>
    <w:rsid w:val="00572D2D"/>
    <w:rsid w:val="00576681"/>
    <w:rsid w:val="005802B2"/>
    <w:rsid w:val="005816BD"/>
    <w:rsid w:val="005840F7"/>
    <w:rsid w:val="00590800"/>
    <w:rsid w:val="00590CE0"/>
    <w:rsid w:val="005A3242"/>
    <w:rsid w:val="005B002E"/>
    <w:rsid w:val="005B1BA9"/>
    <w:rsid w:val="005B30C4"/>
    <w:rsid w:val="005B74AD"/>
    <w:rsid w:val="005C005B"/>
    <w:rsid w:val="005C1095"/>
    <w:rsid w:val="005C7000"/>
    <w:rsid w:val="005D04C2"/>
    <w:rsid w:val="005D2711"/>
    <w:rsid w:val="005D281B"/>
    <w:rsid w:val="005D7D31"/>
    <w:rsid w:val="005E27FB"/>
    <w:rsid w:val="005F362C"/>
    <w:rsid w:val="005F540A"/>
    <w:rsid w:val="005F59C6"/>
    <w:rsid w:val="006058EB"/>
    <w:rsid w:val="006075F5"/>
    <w:rsid w:val="00617EE7"/>
    <w:rsid w:val="00621706"/>
    <w:rsid w:val="00621DB6"/>
    <w:rsid w:val="006236E5"/>
    <w:rsid w:val="00624DDB"/>
    <w:rsid w:val="0063040E"/>
    <w:rsid w:val="0063351B"/>
    <w:rsid w:val="006408DF"/>
    <w:rsid w:val="00640CA6"/>
    <w:rsid w:val="00641183"/>
    <w:rsid w:val="00644868"/>
    <w:rsid w:val="00647B53"/>
    <w:rsid w:val="00647BF3"/>
    <w:rsid w:val="00650842"/>
    <w:rsid w:val="0065173D"/>
    <w:rsid w:val="00652EDE"/>
    <w:rsid w:val="00654033"/>
    <w:rsid w:val="00657CCD"/>
    <w:rsid w:val="0066060A"/>
    <w:rsid w:val="0066087C"/>
    <w:rsid w:val="006713B0"/>
    <w:rsid w:val="0067189F"/>
    <w:rsid w:val="00674C14"/>
    <w:rsid w:val="006757E3"/>
    <w:rsid w:val="00683566"/>
    <w:rsid w:val="006839EC"/>
    <w:rsid w:val="00687960"/>
    <w:rsid w:val="00687E13"/>
    <w:rsid w:val="006924A8"/>
    <w:rsid w:val="0069265F"/>
    <w:rsid w:val="0069411E"/>
    <w:rsid w:val="0069426B"/>
    <w:rsid w:val="0069444C"/>
    <w:rsid w:val="0069660B"/>
    <w:rsid w:val="006A1F8F"/>
    <w:rsid w:val="006A6658"/>
    <w:rsid w:val="006B08DA"/>
    <w:rsid w:val="006B0C24"/>
    <w:rsid w:val="006B5310"/>
    <w:rsid w:val="006C2634"/>
    <w:rsid w:val="006C599E"/>
    <w:rsid w:val="006C636C"/>
    <w:rsid w:val="006D2D9E"/>
    <w:rsid w:val="006D5AC4"/>
    <w:rsid w:val="006D701D"/>
    <w:rsid w:val="006E1E05"/>
    <w:rsid w:val="006E2400"/>
    <w:rsid w:val="006E32D0"/>
    <w:rsid w:val="006E36E2"/>
    <w:rsid w:val="006E4263"/>
    <w:rsid w:val="006E463A"/>
    <w:rsid w:val="006E4BEB"/>
    <w:rsid w:val="006E6052"/>
    <w:rsid w:val="006F5C33"/>
    <w:rsid w:val="006F7938"/>
    <w:rsid w:val="00701967"/>
    <w:rsid w:val="00702DC8"/>
    <w:rsid w:val="00704257"/>
    <w:rsid w:val="00706555"/>
    <w:rsid w:val="00711540"/>
    <w:rsid w:val="00712BE8"/>
    <w:rsid w:val="00716129"/>
    <w:rsid w:val="007210AB"/>
    <w:rsid w:val="007214A9"/>
    <w:rsid w:val="00721C8E"/>
    <w:rsid w:val="0072263E"/>
    <w:rsid w:val="0072637C"/>
    <w:rsid w:val="0072786E"/>
    <w:rsid w:val="007310B1"/>
    <w:rsid w:val="00733DA2"/>
    <w:rsid w:val="0073473B"/>
    <w:rsid w:val="00736540"/>
    <w:rsid w:val="007407EA"/>
    <w:rsid w:val="007419F2"/>
    <w:rsid w:val="00743867"/>
    <w:rsid w:val="00743D94"/>
    <w:rsid w:val="00744A8B"/>
    <w:rsid w:val="0075495B"/>
    <w:rsid w:val="00757057"/>
    <w:rsid w:val="007602B3"/>
    <w:rsid w:val="007608E5"/>
    <w:rsid w:val="0076242C"/>
    <w:rsid w:val="00762E13"/>
    <w:rsid w:val="00773B4E"/>
    <w:rsid w:val="007751C2"/>
    <w:rsid w:val="00776866"/>
    <w:rsid w:val="00780EB9"/>
    <w:rsid w:val="00781EC3"/>
    <w:rsid w:val="00787AE0"/>
    <w:rsid w:val="007928F0"/>
    <w:rsid w:val="00794103"/>
    <w:rsid w:val="00795654"/>
    <w:rsid w:val="00796CD2"/>
    <w:rsid w:val="007A10B4"/>
    <w:rsid w:val="007A5D65"/>
    <w:rsid w:val="007A5F78"/>
    <w:rsid w:val="007A61A9"/>
    <w:rsid w:val="007B3441"/>
    <w:rsid w:val="007B42C3"/>
    <w:rsid w:val="007B4C7D"/>
    <w:rsid w:val="007B4E30"/>
    <w:rsid w:val="007B6A11"/>
    <w:rsid w:val="007C1CF3"/>
    <w:rsid w:val="007C489C"/>
    <w:rsid w:val="007C49FF"/>
    <w:rsid w:val="007C7B85"/>
    <w:rsid w:val="007D010D"/>
    <w:rsid w:val="007D0A1E"/>
    <w:rsid w:val="007D4242"/>
    <w:rsid w:val="007E7A33"/>
    <w:rsid w:val="007F4105"/>
    <w:rsid w:val="0080050D"/>
    <w:rsid w:val="00801826"/>
    <w:rsid w:val="00801FD9"/>
    <w:rsid w:val="0080243A"/>
    <w:rsid w:val="008034FC"/>
    <w:rsid w:val="00807209"/>
    <w:rsid w:val="00811F6C"/>
    <w:rsid w:val="0081358A"/>
    <w:rsid w:val="00814F0C"/>
    <w:rsid w:val="00823D22"/>
    <w:rsid w:val="00827CEB"/>
    <w:rsid w:val="008301E9"/>
    <w:rsid w:val="00830F45"/>
    <w:rsid w:val="00831FEB"/>
    <w:rsid w:val="008347A9"/>
    <w:rsid w:val="00835EF2"/>
    <w:rsid w:val="008366FE"/>
    <w:rsid w:val="008476D9"/>
    <w:rsid w:val="008505B4"/>
    <w:rsid w:val="008532A6"/>
    <w:rsid w:val="00855089"/>
    <w:rsid w:val="00861611"/>
    <w:rsid w:val="00863197"/>
    <w:rsid w:val="00863DBC"/>
    <w:rsid w:val="00865047"/>
    <w:rsid w:val="008703D4"/>
    <w:rsid w:val="00874103"/>
    <w:rsid w:val="008751AC"/>
    <w:rsid w:val="008754B8"/>
    <w:rsid w:val="008816D0"/>
    <w:rsid w:val="00881CAF"/>
    <w:rsid w:val="00882111"/>
    <w:rsid w:val="00882C38"/>
    <w:rsid w:val="00882C57"/>
    <w:rsid w:val="00883AB1"/>
    <w:rsid w:val="00890E11"/>
    <w:rsid w:val="00894042"/>
    <w:rsid w:val="008A1397"/>
    <w:rsid w:val="008A28BB"/>
    <w:rsid w:val="008A32BF"/>
    <w:rsid w:val="008A6FB4"/>
    <w:rsid w:val="008A7A9A"/>
    <w:rsid w:val="008B0F95"/>
    <w:rsid w:val="008B294A"/>
    <w:rsid w:val="008B5D22"/>
    <w:rsid w:val="008C3036"/>
    <w:rsid w:val="008C5DC3"/>
    <w:rsid w:val="008C6067"/>
    <w:rsid w:val="008D3C20"/>
    <w:rsid w:val="008D3E64"/>
    <w:rsid w:val="008E14EC"/>
    <w:rsid w:val="008F0AC9"/>
    <w:rsid w:val="008F1E66"/>
    <w:rsid w:val="008F43BF"/>
    <w:rsid w:val="008F5041"/>
    <w:rsid w:val="008F64F3"/>
    <w:rsid w:val="008F7A8C"/>
    <w:rsid w:val="009045AD"/>
    <w:rsid w:val="00906200"/>
    <w:rsid w:val="00914A97"/>
    <w:rsid w:val="00915310"/>
    <w:rsid w:val="00916F1A"/>
    <w:rsid w:val="00917EC7"/>
    <w:rsid w:val="00926150"/>
    <w:rsid w:val="00933BEC"/>
    <w:rsid w:val="009356BA"/>
    <w:rsid w:val="0093748C"/>
    <w:rsid w:val="00937901"/>
    <w:rsid w:val="009449DF"/>
    <w:rsid w:val="0094576C"/>
    <w:rsid w:val="0094584F"/>
    <w:rsid w:val="009460D5"/>
    <w:rsid w:val="009469EE"/>
    <w:rsid w:val="00953B3E"/>
    <w:rsid w:val="009601D7"/>
    <w:rsid w:val="00962860"/>
    <w:rsid w:val="00962C91"/>
    <w:rsid w:val="0096511D"/>
    <w:rsid w:val="00967BC9"/>
    <w:rsid w:val="00970ACC"/>
    <w:rsid w:val="00970C72"/>
    <w:rsid w:val="00970EE6"/>
    <w:rsid w:val="009762D1"/>
    <w:rsid w:val="009776FD"/>
    <w:rsid w:val="00993468"/>
    <w:rsid w:val="009939CB"/>
    <w:rsid w:val="009945A2"/>
    <w:rsid w:val="0099707B"/>
    <w:rsid w:val="00997556"/>
    <w:rsid w:val="00997562"/>
    <w:rsid w:val="009A3C63"/>
    <w:rsid w:val="009A6455"/>
    <w:rsid w:val="009B1670"/>
    <w:rsid w:val="009B3BB3"/>
    <w:rsid w:val="009C15E4"/>
    <w:rsid w:val="009D0190"/>
    <w:rsid w:val="009D2ACE"/>
    <w:rsid w:val="009D2C1A"/>
    <w:rsid w:val="009D43B2"/>
    <w:rsid w:val="009D5863"/>
    <w:rsid w:val="009D648B"/>
    <w:rsid w:val="009F286B"/>
    <w:rsid w:val="009F4287"/>
    <w:rsid w:val="009F5562"/>
    <w:rsid w:val="009F6ABF"/>
    <w:rsid w:val="009F762F"/>
    <w:rsid w:val="009F7724"/>
    <w:rsid w:val="009F7E62"/>
    <w:rsid w:val="00A027D9"/>
    <w:rsid w:val="00A031CB"/>
    <w:rsid w:val="00A04614"/>
    <w:rsid w:val="00A0556E"/>
    <w:rsid w:val="00A05992"/>
    <w:rsid w:val="00A106B6"/>
    <w:rsid w:val="00A11C3A"/>
    <w:rsid w:val="00A20A4E"/>
    <w:rsid w:val="00A235F8"/>
    <w:rsid w:val="00A27623"/>
    <w:rsid w:val="00A30795"/>
    <w:rsid w:val="00A31F1E"/>
    <w:rsid w:val="00A32E92"/>
    <w:rsid w:val="00A3688E"/>
    <w:rsid w:val="00A405AF"/>
    <w:rsid w:val="00A45F8F"/>
    <w:rsid w:val="00A50752"/>
    <w:rsid w:val="00A50A1F"/>
    <w:rsid w:val="00A528DB"/>
    <w:rsid w:val="00A608DB"/>
    <w:rsid w:val="00A615B1"/>
    <w:rsid w:val="00A6372F"/>
    <w:rsid w:val="00A6612F"/>
    <w:rsid w:val="00A66CB5"/>
    <w:rsid w:val="00A67BE5"/>
    <w:rsid w:val="00A70845"/>
    <w:rsid w:val="00A722EC"/>
    <w:rsid w:val="00A72379"/>
    <w:rsid w:val="00A732EC"/>
    <w:rsid w:val="00A7758F"/>
    <w:rsid w:val="00A96D37"/>
    <w:rsid w:val="00A971DD"/>
    <w:rsid w:val="00AA0051"/>
    <w:rsid w:val="00AA0170"/>
    <w:rsid w:val="00AA0BD1"/>
    <w:rsid w:val="00AA1458"/>
    <w:rsid w:val="00AA21B5"/>
    <w:rsid w:val="00AA3E74"/>
    <w:rsid w:val="00AB044B"/>
    <w:rsid w:val="00AB721F"/>
    <w:rsid w:val="00AC6084"/>
    <w:rsid w:val="00AC70AC"/>
    <w:rsid w:val="00AD3BEE"/>
    <w:rsid w:val="00AE3C4C"/>
    <w:rsid w:val="00AE607A"/>
    <w:rsid w:val="00AF20FB"/>
    <w:rsid w:val="00AF3D8E"/>
    <w:rsid w:val="00AF4999"/>
    <w:rsid w:val="00B00354"/>
    <w:rsid w:val="00B0040F"/>
    <w:rsid w:val="00B00CD4"/>
    <w:rsid w:val="00B10B03"/>
    <w:rsid w:val="00B17982"/>
    <w:rsid w:val="00B21553"/>
    <w:rsid w:val="00B2264C"/>
    <w:rsid w:val="00B249C6"/>
    <w:rsid w:val="00B2621B"/>
    <w:rsid w:val="00B27F9E"/>
    <w:rsid w:val="00B31682"/>
    <w:rsid w:val="00B3357D"/>
    <w:rsid w:val="00B360A6"/>
    <w:rsid w:val="00B60FDC"/>
    <w:rsid w:val="00B63A25"/>
    <w:rsid w:val="00B63DBE"/>
    <w:rsid w:val="00B67DB4"/>
    <w:rsid w:val="00B67EEC"/>
    <w:rsid w:val="00B71CB1"/>
    <w:rsid w:val="00B73CA1"/>
    <w:rsid w:val="00B74180"/>
    <w:rsid w:val="00B7728F"/>
    <w:rsid w:val="00B8007B"/>
    <w:rsid w:val="00B82D96"/>
    <w:rsid w:val="00B84330"/>
    <w:rsid w:val="00B856E2"/>
    <w:rsid w:val="00B91702"/>
    <w:rsid w:val="00B92DA9"/>
    <w:rsid w:val="00B944C6"/>
    <w:rsid w:val="00B9506D"/>
    <w:rsid w:val="00B95A99"/>
    <w:rsid w:val="00B96AAA"/>
    <w:rsid w:val="00BA150A"/>
    <w:rsid w:val="00BA5241"/>
    <w:rsid w:val="00BA7BE7"/>
    <w:rsid w:val="00BB29EA"/>
    <w:rsid w:val="00BB548A"/>
    <w:rsid w:val="00BC0AB7"/>
    <w:rsid w:val="00BC147A"/>
    <w:rsid w:val="00BC365B"/>
    <w:rsid w:val="00BC624A"/>
    <w:rsid w:val="00BC77E5"/>
    <w:rsid w:val="00BD2405"/>
    <w:rsid w:val="00BD474B"/>
    <w:rsid w:val="00BD53F0"/>
    <w:rsid w:val="00BD75DE"/>
    <w:rsid w:val="00BD7760"/>
    <w:rsid w:val="00BE3336"/>
    <w:rsid w:val="00BE3712"/>
    <w:rsid w:val="00BE61C3"/>
    <w:rsid w:val="00BE7F94"/>
    <w:rsid w:val="00BF1270"/>
    <w:rsid w:val="00BF4CD7"/>
    <w:rsid w:val="00BF6E4A"/>
    <w:rsid w:val="00C04B50"/>
    <w:rsid w:val="00C062F4"/>
    <w:rsid w:val="00C20EAF"/>
    <w:rsid w:val="00C21069"/>
    <w:rsid w:val="00C26972"/>
    <w:rsid w:val="00C34BFC"/>
    <w:rsid w:val="00C355AC"/>
    <w:rsid w:val="00C44FA3"/>
    <w:rsid w:val="00C463E3"/>
    <w:rsid w:val="00C54ACF"/>
    <w:rsid w:val="00C562B7"/>
    <w:rsid w:val="00C56B25"/>
    <w:rsid w:val="00C6215A"/>
    <w:rsid w:val="00C7249C"/>
    <w:rsid w:val="00C72740"/>
    <w:rsid w:val="00C75578"/>
    <w:rsid w:val="00C80A4D"/>
    <w:rsid w:val="00C81580"/>
    <w:rsid w:val="00C832F8"/>
    <w:rsid w:val="00C84C21"/>
    <w:rsid w:val="00C87793"/>
    <w:rsid w:val="00C92589"/>
    <w:rsid w:val="00C9381A"/>
    <w:rsid w:val="00C96EAA"/>
    <w:rsid w:val="00C96ED3"/>
    <w:rsid w:val="00C976DD"/>
    <w:rsid w:val="00C97882"/>
    <w:rsid w:val="00CA08EC"/>
    <w:rsid w:val="00CA0BCA"/>
    <w:rsid w:val="00CA1AC2"/>
    <w:rsid w:val="00CA24A3"/>
    <w:rsid w:val="00CA32AB"/>
    <w:rsid w:val="00CA3CAB"/>
    <w:rsid w:val="00CA3D95"/>
    <w:rsid w:val="00CA3FD7"/>
    <w:rsid w:val="00CB37A2"/>
    <w:rsid w:val="00CB612F"/>
    <w:rsid w:val="00CB7191"/>
    <w:rsid w:val="00CC2722"/>
    <w:rsid w:val="00CC3F34"/>
    <w:rsid w:val="00CC711A"/>
    <w:rsid w:val="00CD06CC"/>
    <w:rsid w:val="00CD0B1A"/>
    <w:rsid w:val="00CD5242"/>
    <w:rsid w:val="00CD6147"/>
    <w:rsid w:val="00CE2D6C"/>
    <w:rsid w:val="00CE4AA1"/>
    <w:rsid w:val="00CE5777"/>
    <w:rsid w:val="00CF03DD"/>
    <w:rsid w:val="00CF21B9"/>
    <w:rsid w:val="00CF2C23"/>
    <w:rsid w:val="00CF3BCB"/>
    <w:rsid w:val="00CF3F32"/>
    <w:rsid w:val="00CF5A4D"/>
    <w:rsid w:val="00D00242"/>
    <w:rsid w:val="00D01389"/>
    <w:rsid w:val="00D027E2"/>
    <w:rsid w:val="00D044DB"/>
    <w:rsid w:val="00D06BBD"/>
    <w:rsid w:val="00D0787F"/>
    <w:rsid w:val="00D078AD"/>
    <w:rsid w:val="00D15E09"/>
    <w:rsid w:val="00D17B63"/>
    <w:rsid w:val="00D2305D"/>
    <w:rsid w:val="00D26C31"/>
    <w:rsid w:val="00D3169D"/>
    <w:rsid w:val="00D33BF9"/>
    <w:rsid w:val="00D36B7D"/>
    <w:rsid w:val="00D47B21"/>
    <w:rsid w:val="00D47FC8"/>
    <w:rsid w:val="00D50E38"/>
    <w:rsid w:val="00D52BB0"/>
    <w:rsid w:val="00D543C9"/>
    <w:rsid w:val="00D56D69"/>
    <w:rsid w:val="00D629D0"/>
    <w:rsid w:val="00D71947"/>
    <w:rsid w:val="00D73B4D"/>
    <w:rsid w:val="00D749AB"/>
    <w:rsid w:val="00D82E20"/>
    <w:rsid w:val="00D9146C"/>
    <w:rsid w:val="00D943F4"/>
    <w:rsid w:val="00D94755"/>
    <w:rsid w:val="00D95034"/>
    <w:rsid w:val="00D951A4"/>
    <w:rsid w:val="00D95DD5"/>
    <w:rsid w:val="00D970F1"/>
    <w:rsid w:val="00DA34B7"/>
    <w:rsid w:val="00DA3AC4"/>
    <w:rsid w:val="00DA52FF"/>
    <w:rsid w:val="00DA555C"/>
    <w:rsid w:val="00DA6741"/>
    <w:rsid w:val="00DA796C"/>
    <w:rsid w:val="00DB25FF"/>
    <w:rsid w:val="00DB2633"/>
    <w:rsid w:val="00DB49C3"/>
    <w:rsid w:val="00DB5AD0"/>
    <w:rsid w:val="00DC08A6"/>
    <w:rsid w:val="00DC2795"/>
    <w:rsid w:val="00DC3619"/>
    <w:rsid w:val="00DC675D"/>
    <w:rsid w:val="00DD464F"/>
    <w:rsid w:val="00DD64CE"/>
    <w:rsid w:val="00DE1498"/>
    <w:rsid w:val="00DE48D7"/>
    <w:rsid w:val="00DE4FDF"/>
    <w:rsid w:val="00DE6403"/>
    <w:rsid w:val="00DF0D22"/>
    <w:rsid w:val="00DF239E"/>
    <w:rsid w:val="00DF510E"/>
    <w:rsid w:val="00E02289"/>
    <w:rsid w:val="00E034CD"/>
    <w:rsid w:val="00E077CE"/>
    <w:rsid w:val="00E10BDE"/>
    <w:rsid w:val="00E12804"/>
    <w:rsid w:val="00E15F9E"/>
    <w:rsid w:val="00E16323"/>
    <w:rsid w:val="00E22B60"/>
    <w:rsid w:val="00E24B70"/>
    <w:rsid w:val="00E301D8"/>
    <w:rsid w:val="00E309B0"/>
    <w:rsid w:val="00E3282E"/>
    <w:rsid w:val="00E32AF9"/>
    <w:rsid w:val="00E36813"/>
    <w:rsid w:val="00E36B62"/>
    <w:rsid w:val="00E372AF"/>
    <w:rsid w:val="00E4049E"/>
    <w:rsid w:val="00E4259E"/>
    <w:rsid w:val="00E53EB5"/>
    <w:rsid w:val="00E62209"/>
    <w:rsid w:val="00E64863"/>
    <w:rsid w:val="00E66BED"/>
    <w:rsid w:val="00E81429"/>
    <w:rsid w:val="00E81D32"/>
    <w:rsid w:val="00E868D3"/>
    <w:rsid w:val="00E91E36"/>
    <w:rsid w:val="00E92926"/>
    <w:rsid w:val="00E954A1"/>
    <w:rsid w:val="00E95AD2"/>
    <w:rsid w:val="00E961E6"/>
    <w:rsid w:val="00E97D7F"/>
    <w:rsid w:val="00EB0415"/>
    <w:rsid w:val="00EB2595"/>
    <w:rsid w:val="00EB4EEE"/>
    <w:rsid w:val="00EB5DE0"/>
    <w:rsid w:val="00EB6AE3"/>
    <w:rsid w:val="00EC2E34"/>
    <w:rsid w:val="00ED0FB2"/>
    <w:rsid w:val="00ED197D"/>
    <w:rsid w:val="00ED27AA"/>
    <w:rsid w:val="00EE0054"/>
    <w:rsid w:val="00EE0384"/>
    <w:rsid w:val="00EE07FA"/>
    <w:rsid w:val="00EE15B6"/>
    <w:rsid w:val="00EE2370"/>
    <w:rsid w:val="00EE3109"/>
    <w:rsid w:val="00EE3A1D"/>
    <w:rsid w:val="00EE607A"/>
    <w:rsid w:val="00EE66A7"/>
    <w:rsid w:val="00EE710F"/>
    <w:rsid w:val="00EF074A"/>
    <w:rsid w:val="00EF08BE"/>
    <w:rsid w:val="00EF0A1F"/>
    <w:rsid w:val="00EF5FB5"/>
    <w:rsid w:val="00EF6C84"/>
    <w:rsid w:val="00EF73C8"/>
    <w:rsid w:val="00F01427"/>
    <w:rsid w:val="00F049E2"/>
    <w:rsid w:val="00F04E58"/>
    <w:rsid w:val="00F1213A"/>
    <w:rsid w:val="00F15FFE"/>
    <w:rsid w:val="00F175D7"/>
    <w:rsid w:val="00F21215"/>
    <w:rsid w:val="00F21764"/>
    <w:rsid w:val="00F22315"/>
    <w:rsid w:val="00F25B9F"/>
    <w:rsid w:val="00F26600"/>
    <w:rsid w:val="00F26781"/>
    <w:rsid w:val="00F30B81"/>
    <w:rsid w:val="00F31255"/>
    <w:rsid w:val="00F31CEE"/>
    <w:rsid w:val="00F35B19"/>
    <w:rsid w:val="00F37A65"/>
    <w:rsid w:val="00F37A89"/>
    <w:rsid w:val="00F40634"/>
    <w:rsid w:val="00F42759"/>
    <w:rsid w:val="00F46E9B"/>
    <w:rsid w:val="00F553EA"/>
    <w:rsid w:val="00F55B67"/>
    <w:rsid w:val="00F55BD5"/>
    <w:rsid w:val="00F55C40"/>
    <w:rsid w:val="00F56A52"/>
    <w:rsid w:val="00F56FD7"/>
    <w:rsid w:val="00F61078"/>
    <w:rsid w:val="00F638FD"/>
    <w:rsid w:val="00F72140"/>
    <w:rsid w:val="00F73A66"/>
    <w:rsid w:val="00F758D5"/>
    <w:rsid w:val="00F76B4F"/>
    <w:rsid w:val="00F81338"/>
    <w:rsid w:val="00F8383F"/>
    <w:rsid w:val="00F87D9B"/>
    <w:rsid w:val="00F95312"/>
    <w:rsid w:val="00F95F76"/>
    <w:rsid w:val="00FA2454"/>
    <w:rsid w:val="00FA3102"/>
    <w:rsid w:val="00FA43E2"/>
    <w:rsid w:val="00FA5AC7"/>
    <w:rsid w:val="00FA6FF7"/>
    <w:rsid w:val="00FA75A7"/>
    <w:rsid w:val="00FB05AB"/>
    <w:rsid w:val="00FB22A0"/>
    <w:rsid w:val="00FB60DD"/>
    <w:rsid w:val="00FB78A9"/>
    <w:rsid w:val="00FC007E"/>
    <w:rsid w:val="00FC096B"/>
    <w:rsid w:val="00FC20D7"/>
    <w:rsid w:val="00FC23A2"/>
    <w:rsid w:val="00FC2683"/>
    <w:rsid w:val="00FC3CB1"/>
    <w:rsid w:val="00FC5FCF"/>
    <w:rsid w:val="00FC6517"/>
    <w:rsid w:val="00FC7B81"/>
    <w:rsid w:val="00FC7E9E"/>
    <w:rsid w:val="00FD1A2A"/>
    <w:rsid w:val="00FD6EB0"/>
    <w:rsid w:val="00FD7931"/>
    <w:rsid w:val="00FD7B86"/>
    <w:rsid w:val="00FE20EE"/>
    <w:rsid w:val="00FE7912"/>
    <w:rsid w:val="00FE7B30"/>
    <w:rsid w:val="00FF1579"/>
    <w:rsid w:val="00FF215E"/>
    <w:rsid w:val="00FF2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56"/>
    <w:rPr>
      <w:color w:val="404040" w:themeColor="text1" w:themeTint="BF"/>
    </w:rPr>
  </w:style>
  <w:style w:type="paragraph" w:styleId="Titre1">
    <w:name w:val="heading 1"/>
    <w:basedOn w:val="Normal"/>
    <w:next w:val="Normal"/>
    <w:link w:val="Titre1Car"/>
    <w:uiPriority w:val="9"/>
    <w:qFormat/>
    <w:rsid w:val="0018528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4427A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4"/>
      <w:szCs w:val="28"/>
    </w:rPr>
  </w:style>
  <w:style w:type="paragraph" w:styleId="Titre3">
    <w:name w:val="heading 3"/>
    <w:basedOn w:val="Normal"/>
    <w:next w:val="Normal"/>
    <w:link w:val="Titre3Car"/>
    <w:uiPriority w:val="9"/>
    <w:unhideWhenUsed/>
    <w:qFormat/>
    <w:rsid w:val="004427A2"/>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unhideWhenUsed/>
    <w:qFormat/>
    <w:rsid w:val="0018528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8528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8528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8528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8528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8528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66A7"/>
    <w:pPr>
      <w:tabs>
        <w:tab w:val="center" w:pos="4536"/>
        <w:tab w:val="right" w:pos="9072"/>
      </w:tabs>
      <w:spacing w:after="0" w:line="240" w:lineRule="auto"/>
    </w:pPr>
  </w:style>
  <w:style w:type="character" w:customStyle="1" w:styleId="En-tteCar">
    <w:name w:val="En-tête Car"/>
    <w:basedOn w:val="Policepardfaut"/>
    <w:link w:val="En-tte"/>
    <w:uiPriority w:val="99"/>
    <w:rsid w:val="00EE66A7"/>
  </w:style>
  <w:style w:type="paragraph" w:styleId="Pieddepage">
    <w:name w:val="footer"/>
    <w:basedOn w:val="Normal"/>
    <w:link w:val="PieddepageCar"/>
    <w:uiPriority w:val="99"/>
    <w:unhideWhenUsed/>
    <w:rsid w:val="00EE6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6A7"/>
  </w:style>
  <w:style w:type="paragraph" w:styleId="Textedebulles">
    <w:name w:val="Balloon Text"/>
    <w:basedOn w:val="Normal"/>
    <w:link w:val="TextedebullesCar"/>
    <w:uiPriority w:val="99"/>
    <w:semiHidden/>
    <w:unhideWhenUsed/>
    <w:rsid w:val="00EE6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6A7"/>
    <w:rPr>
      <w:rFonts w:ascii="Tahoma" w:hAnsi="Tahoma" w:cs="Tahoma"/>
      <w:sz w:val="16"/>
      <w:szCs w:val="16"/>
    </w:rPr>
  </w:style>
  <w:style w:type="character" w:customStyle="1" w:styleId="Titre1Car">
    <w:name w:val="Titre 1 Car"/>
    <w:basedOn w:val="Policepardfaut"/>
    <w:link w:val="Titre1"/>
    <w:uiPriority w:val="9"/>
    <w:rsid w:val="0018528A"/>
    <w:rPr>
      <w:rFonts w:asciiTheme="majorHAnsi" w:eastAsiaTheme="majorEastAsia" w:hAnsiTheme="majorHAnsi" w:cstheme="majorBidi"/>
      <w:smallCaps/>
      <w:color w:val="0F243E" w:themeColor="text2" w:themeShade="7F"/>
      <w:spacing w:val="20"/>
      <w:sz w:val="32"/>
      <w:szCs w:val="32"/>
    </w:rPr>
  </w:style>
  <w:style w:type="paragraph" w:styleId="Paragraphedeliste">
    <w:name w:val="List Paragraph"/>
    <w:basedOn w:val="Normal"/>
    <w:uiPriority w:val="34"/>
    <w:qFormat/>
    <w:rsid w:val="0018528A"/>
    <w:pPr>
      <w:ind w:left="720"/>
      <w:contextualSpacing/>
    </w:pPr>
  </w:style>
  <w:style w:type="character" w:customStyle="1" w:styleId="Titre2Car">
    <w:name w:val="Titre 2 Car"/>
    <w:basedOn w:val="Policepardfaut"/>
    <w:link w:val="Titre2"/>
    <w:uiPriority w:val="9"/>
    <w:rsid w:val="004427A2"/>
    <w:rPr>
      <w:rFonts w:asciiTheme="majorHAnsi" w:eastAsiaTheme="majorEastAsia" w:hAnsiTheme="majorHAnsi" w:cstheme="majorBidi"/>
      <w:smallCaps/>
      <w:color w:val="17365D" w:themeColor="text2" w:themeShade="BF"/>
      <w:spacing w:val="20"/>
      <w:sz w:val="24"/>
      <w:szCs w:val="28"/>
    </w:rPr>
  </w:style>
  <w:style w:type="paragraph" w:styleId="TM1">
    <w:name w:val="toc 1"/>
    <w:basedOn w:val="Normal"/>
    <w:next w:val="Normal"/>
    <w:autoRedefine/>
    <w:uiPriority w:val="39"/>
    <w:unhideWhenUsed/>
    <w:rsid w:val="00D95034"/>
    <w:pPr>
      <w:spacing w:after="100"/>
    </w:pPr>
  </w:style>
  <w:style w:type="paragraph" w:styleId="TM2">
    <w:name w:val="toc 2"/>
    <w:basedOn w:val="Normal"/>
    <w:next w:val="Normal"/>
    <w:autoRedefine/>
    <w:uiPriority w:val="39"/>
    <w:unhideWhenUsed/>
    <w:rsid w:val="007210AB"/>
    <w:pPr>
      <w:tabs>
        <w:tab w:val="right" w:leader="dot" w:pos="9062"/>
      </w:tabs>
      <w:spacing w:after="100"/>
      <w:ind w:left="567"/>
    </w:pPr>
  </w:style>
  <w:style w:type="character" w:styleId="Lienhypertexte">
    <w:name w:val="Hyperlink"/>
    <w:basedOn w:val="Policepardfaut"/>
    <w:uiPriority w:val="99"/>
    <w:unhideWhenUsed/>
    <w:rsid w:val="00D95034"/>
    <w:rPr>
      <w:color w:val="0000FF" w:themeColor="hyperlink"/>
      <w:u w:val="single"/>
    </w:rPr>
  </w:style>
  <w:style w:type="paragraph" w:styleId="Notedebasdepage">
    <w:name w:val="footnote text"/>
    <w:basedOn w:val="Normal"/>
    <w:link w:val="NotedebasdepageCar"/>
    <w:uiPriority w:val="99"/>
    <w:unhideWhenUsed/>
    <w:rsid w:val="00B2264C"/>
    <w:pPr>
      <w:spacing w:after="0" w:line="240" w:lineRule="auto"/>
    </w:pPr>
  </w:style>
  <w:style w:type="character" w:customStyle="1" w:styleId="NotedebasdepageCar">
    <w:name w:val="Note de bas de page Car"/>
    <w:basedOn w:val="Policepardfaut"/>
    <w:link w:val="Notedebasdepage"/>
    <w:uiPriority w:val="99"/>
    <w:rsid w:val="00B2264C"/>
    <w:rPr>
      <w:sz w:val="20"/>
      <w:szCs w:val="20"/>
    </w:rPr>
  </w:style>
  <w:style w:type="character" w:styleId="Appelnotedebasdep">
    <w:name w:val="footnote reference"/>
    <w:basedOn w:val="Policepardfaut"/>
    <w:uiPriority w:val="99"/>
    <w:semiHidden/>
    <w:unhideWhenUsed/>
    <w:rsid w:val="00B2264C"/>
    <w:rPr>
      <w:vertAlign w:val="superscript"/>
    </w:rPr>
  </w:style>
  <w:style w:type="paragraph" w:styleId="NormalWeb">
    <w:name w:val="Normal (Web)"/>
    <w:basedOn w:val="Normal"/>
    <w:uiPriority w:val="99"/>
    <w:semiHidden/>
    <w:unhideWhenUsed/>
    <w:rsid w:val="00FF22F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Marquedecommentaire">
    <w:name w:val="annotation reference"/>
    <w:basedOn w:val="Policepardfaut"/>
    <w:uiPriority w:val="99"/>
    <w:semiHidden/>
    <w:unhideWhenUsed/>
    <w:rsid w:val="00933BEC"/>
    <w:rPr>
      <w:sz w:val="16"/>
      <w:szCs w:val="16"/>
    </w:rPr>
  </w:style>
  <w:style w:type="paragraph" w:styleId="Commentaire">
    <w:name w:val="annotation text"/>
    <w:basedOn w:val="Normal"/>
    <w:link w:val="CommentaireCar"/>
    <w:uiPriority w:val="99"/>
    <w:semiHidden/>
    <w:unhideWhenUsed/>
    <w:rsid w:val="00933BEC"/>
    <w:pPr>
      <w:spacing w:line="240" w:lineRule="auto"/>
    </w:pPr>
  </w:style>
  <w:style w:type="character" w:customStyle="1" w:styleId="CommentaireCar">
    <w:name w:val="Commentaire Car"/>
    <w:basedOn w:val="Policepardfaut"/>
    <w:link w:val="Commentaire"/>
    <w:uiPriority w:val="99"/>
    <w:semiHidden/>
    <w:rsid w:val="00933BEC"/>
    <w:rPr>
      <w:sz w:val="20"/>
      <w:szCs w:val="20"/>
    </w:rPr>
  </w:style>
  <w:style w:type="paragraph" w:styleId="Objetducommentaire">
    <w:name w:val="annotation subject"/>
    <w:basedOn w:val="Commentaire"/>
    <w:next w:val="Commentaire"/>
    <w:link w:val="ObjetducommentaireCar"/>
    <w:uiPriority w:val="99"/>
    <w:semiHidden/>
    <w:unhideWhenUsed/>
    <w:rsid w:val="00933BEC"/>
    <w:rPr>
      <w:b/>
      <w:bCs/>
    </w:rPr>
  </w:style>
  <w:style w:type="character" w:customStyle="1" w:styleId="ObjetducommentaireCar">
    <w:name w:val="Objet du commentaire Car"/>
    <w:basedOn w:val="CommentaireCar"/>
    <w:link w:val="Objetducommentaire"/>
    <w:uiPriority w:val="99"/>
    <w:semiHidden/>
    <w:rsid w:val="00933BEC"/>
    <w:rPr>
      <w:b/>
      <w:bCs/>
      <w:sz w:val="20"/>
      <w:szCs w:val="20"/>
    </w:rPr>
  </w:style>
  <w:style w:type="character" w:customStyle="1" w:styleId="Titre3Car">
    <w:name w:val="Titre 3 Car"/>
    <w:basedOn w:val="Policepardfaut"/>
    <w:link w:val="Titre3"/>
    <w:uiPriority w:val="9"/>
    <w:rsid w:val="004427A2"/>
    <w:rPr>
      <w:rFonts w:asciiTheme="majorHAnsi" w:eastAsiaTheme="majorEastAsia" w:hAnsiTheme="majorHAnsi" w:cstheme="majorBidi"/>
      <w:smallCaps/>
      <w:color w:val="1F497D" w:themeColor="text2"/>
      <w:spacing w:val="20"/>
      <w:szCs w:val="24"/>
    </w:rPr>
  </w:style>
  <w:style w:type="character" w:customStyle="1" w:styleId="Titre4Car">
    <w:name w:val="Titre 4 Car"/>
    <w:basedOn w:val="Policepardfaut"/>
    <w:link w:val="Titre4"/>
    <w:uiPriority w:val="9"/>
    <w:rsid w:val="0018528A"/>
    <w:rPr>
      <w:rFonts w:asciiTheme="majorHAnsi" w:eastAsiaTheme="majorEastAsia" w:hAnsiTheme="majorHAnsi" w:cstheme="majorBidi"/>
      <w:b/>
      <w:bCs/>
      <w:smallCaps/>
      <w:color w:val="3071C3" w:themeColor="text2" w:themeTint="BF"/>
      <w:spacing w:val="20"/>
    </w:rPr>
  </w:style>
  <w:style w:type="paragraph" w:styleId="TM3">
    <w:name w:val="toc 3"/>
    <w:basedOn w:val="Normal"/>
    <w:next w:val="Normal"/>
    <w:autoRedefine/>
    <w:uiPriority w:val="39"/>
    <w:unhideWhenUsed/>
    <w:rsid w:val="007210AB"/>
    <w:pPr>
      <w:tabs>
        <w:tab w:val="right" w:leader="dot" w:pos="9062"/>
      </w:tabs>
      <w:spacing w:after="100"/>
      <w:ind w:left="1134"/>
    </w:pPr>
  </w:style>
  <w:style w:type="table" w:styleId="Grilledutableau">
    <w:name w:val="Table Grid"/>
    <w:basedOn w:val="TableauNormal"/>
    <w:uiPriority w:val="59"/>
    <w:rsid w:val="003F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5DD9"/>
    <w:pPr>
      <w:widowControl w:val="0"/>
      <w:suppressAutoHyphens/>
      <w:spacing w:after="120" w:line="240" w:lineRule="auto"/>
    </w:pPr>
    <w:rPr>
      <w:rFonts w:ascii="Times New Roman" w:eastAsia="Arial Unicode MS" w:hAnsi="Times New Roman" w:cs="Times New Roman"/>
      <w:kern w:val="24"/>
      <w:sz w:val="24"/>
      <w:szCs w:val="24"/>
      <w:lang w:val="fr-FR" w:eastAsia="fr-BE"/>
    </w:rPr>
  </w:style>
  <w:style w:type="character" w:customStyle="1" w:styleId="CorpsdetexteCar">
    <w:name w:val="Corps de texte Car"/>
    <w:basedOn w:val="Policepardfaut"/>
    <w:link w:val="Corpsdetexte"/>
    <w:rsid w:val="00555DD9"/>
    <w:rPr>
      <w:rFonts w:ascii="Times New Roman" w:eastAsia="Arial Unicode MS" w:hAnsi="Times New Roman" w:cs="Times New Roman"/>
      <w:kern w:val="24"/>
      <w:sz w:val="24"/>
      <w:szCs w:val="24"/>
      <w:lang w:val="fr-FR" w:eastAsia="fr-BE"/>
    </w:rPr>
  </w:style>
  <w:style w:type="character" w:customStyle="1" w:styleId="tw4winMark">
    <w:name w:val="tw4winMark"/>
    <w:uiPriority w:val="99"/>
    <w:rsid w:val="005521F2"/>
    <w:rPr>
      <w:rFonts w:ascii="Courier New" w:hAnsi="Courier New"/>
      <w:vanish/>
      <w:color w:val="800080"/>
      <w:vertAlign w:val="subscript"/>
    </w:rPr>
  </w:style>
  <w:style w:type="character" w:styleId="Lienhypertextesuivivisit">
    <w:name w:val="FollowedHyperlink"/>
    <w:basedOn w:val="Policepardfaut"/>
    <w:uiPriority w:val="99"/>
    <w:semiHidden/>
    <w:unhideWhenUsed/>
    <w:rsid w:val="0002078D"/>
    <w:rPr>
      <w:color w:val="800080" w:themeColor="followedHyperlink"/>
      <w:u w:val="single"/>
    </w:rPr>
  </w:style>
  <w:style w:type="paragraph" w:styleId="En-ttedetabledesmatires">
    <w:name w:val="TOC Heading"/>
    <w:basedOn w:val="Titre1"/>
    <w:next w:val="Normal"/>
    <w:uiPriority w:val="39"/>
    <w:semiHidden/>
    <w:unhideWhenUsed/>
    <w:qFormat/>
    <w:rsid w:val="0018528A"/>
    <w:pPr>
      <w:outlineLvl w:val="9"/>
    </w:pPr>
    <w:rPr>
      <w:lang w:bidi="en-US"/>
    </w:rPr>
  </w:style>
  <w:style w:type="character" w:customStyle="1" w:styleId="Titre5Car">
    <w:name w:val="Titre 5 Car"/>
    <w:basedOn w:val="Policepardfaut"/>
    <w:link w:val="Titre5"/>
    <w:uiPriority w:val="9"/>
    <w:semiHidden/>
    <w:rsid w:val="0018528A"/>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8528A"/>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8528A"/>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8528A"/>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8528A"/>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8528A"/>
    <w:rPr>
      <w:b/>
      <w:bCs/>
      <w:smallCaps/>
      <w:color w:val="1F497D" w:themeColor="text2"/>
      <w:spacing w:val="10"/>
      <w:sz w:val="18"/>
      <w:szCs w:val="18"/>
    </w:rPr>
  </w:style>
  <w:style w:type="paragraph" w:styleId="Titre">
    <w:name w:val="Title"/>
    <w:next w:val="Normal"/>
    <w:link w:val="TitreCar"/>
    <w:uiPriority w:val="10"/>
    <w:qFormat/>
    <w:rsid w:val="0018528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8528A"/>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8528A"/>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8528A"/>
    <w:rPr>
      <w:smallCaps/>
      <w:color w:val="938953" w:themeColor="background2" w:themeShade="7F"/>
      <w:spacing w:val="5"/>
      <w:sz w:val="28"/>
      <w:szCs w:val="28"/>
    </w:rPr>
  </w:style>
  <w:style w:type="character" w:styleId="lev">
    <w:name w:val="Strong"/>
    <w:uiPriority w:val="22"/>
    <w:qFormat/>
    <w:rsid w:val="0018528A"/>
    <w:rPr>
      <w:b/>
      <w:bCs/>
      <w:spacing w:val="0"/>
    </w:rPr>
  </w:style>
  <w:style w:type="character" w:styleId="Accentuation">
    <w:name w:val="Emphasis"/>
    <w:uiPriority w:val="20"/>
    <w:qFormat/>
    <w:rsid w:val="0018528A"/>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18528A"/>
    <w:pPr>
      <w:spacing w:after="0" w:line="240" w:lineRule="auto"/>
    </w:pPr>
  </w:style>
  <w:style w:type="character" w:customStyle="1" w:styleId="SansinterligneCar">
    <w:name w:val="Sans interligne Car"/>
    <w:basedOn w:val="Policepardfaut"/>
    <w:link w:val="Sansinterligne"/>
    <w:uiPriority w:val="1"/>
    <w:rsid w:val="00F72140"/>
    <w:rPr>
      <w:color w:val="5A5A5A" w:themeColor="text1" w:themeTint="A5"/>
    </w:rPr>
  </w:style>
  <w:style w:type="paragraph" w:styleId="Citation">
    <w:name w:val="Quote"/>
    <w:basedOn w:val="Normal"/>
    <w:next w:val="Normal"/>
    <w:link w:val="CitationCar"/>
    <w:uiPriority w:val="29"/>
    <w:qFormat/>
    <w:rsid w:val="0018528A"/>
    <w:rPr>
      <w:i/>
      <w:iCs/>
    </w:rPr>
  </w:style>
  <w:style w:type="character" w:customStyle="1" w:styleId="CitationCar">
    <w:name w:val="Citation Car"/>
    <w:basedOn w:val="Policepardfaut"/>
    <w:link w:val="Citation"/>
    <w:uiPriority w:val="29"/>
    <w:rsid w:val="0018528A"/>
    <w:rPr>
      <w:i/>
      <w:iCs/>
      <w:color w:val="5A5A5A" w:themeColor="text1" w:themeTint="A5"/>
    </w:rPr>
  </w:style>
  <w:style w:type="paragraph" w:styleId="Citationintense">
    <w:name w:val="Intense Quote"/>
    <w:basedOn w:val="Normal"/>
    <w:next w:val="Normal"/>
    <w:link w:val="CitationintenseCar"/>
    <w:autoRedefine/>
    <w:uiPriority w:val="30"/>
    <w:qFormat/>
    <w:rsid w:val="00051B18"/>
    <w:pPr>
      <w:pBdr>
        <w:left w:val="single" w:sz="12" w:space="15" w:color="7BA0CD" w:themeColor="accent1" w:themeTint="BF"/>
        <w:bar w:val="single" w:sz="4" w:color="7BA0CD" w:themeColor="accent1" w:themeTint="BF"/>
      </w:pBdr>
      <w:tabs>
        <w:tab w:val="left" w:pos="1560"/>
        <w:tab w:val="left" w:pos="1843"/>
        <w:tab w:val="left" w:pos="2835"/>
      </w:tabs>
      <w:spacing w:line="300" w:lineRule="auto"/>
      <w:ind w:left="2410" w:right="19"/>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51B18"/>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8528A"/>
    <w:rPr>
      <w:smallCaps/>
      <w:dstrike w:val="0"/>
      <w:color w:val="5A5A5A" w:themeColor="text1" w:themeTint="A5"/>
      <w:vertAlign w:val="baseline"/>
    </w:rPr>
  </w:style>
  <w:style w:type="character" w:styleId="Emphaseintense">
    <w:name w:val="Intense Emphasis"/>
    <w:uiPriority w:val="21"/>
    <w:qFormat/>
    <w:rsid w:val="0018528A"/>
    <w:rPr>
      <w:b/>
      <w:bCs/>
      <w:smallCaps/>
      <w:color w:val="4F81BD" w:themeColor="accent1"/>
      <w:spacing w:val="40"/>
    </w:rPr>
  </w:style>
  <w:style w:type="character" w:styleId="Rfrenceple">
    <w:name w:val="Subtle Reference"/>
    <w:uiPriority w:val="31"/>
    <w:qFormat/>
    <w:rsid w:val="0018528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8528A"/>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8528A"/>
    <w:rPr>
      <w:rFonts w:asciiTheme="majorHAnsi" w:eastAsiaTheme="majorEastAsia" w:hAnsiTheme="majorHAnsi" w:cstheme="majorBidi"/>
      <w:b/>
      <w:bCs/>
      <w:smallCaps/>
      <w:color w:val="17365D" w:themeColor="text2" w:themeShade="BF"/>
      <w:spacing w:val="10"/>
      <w:u w:val="single"/>
    </w:rPr>
  </w:style>
  <w:style w:type="paragraph" w:customStyle="1" w:styleId="Stijl1">
    <w:name w:val="Stijl1"/>
    <w:basedOn w:val="Normal"/>
    <w:link w:val="Stijl1Char"/>
    <w:qFormat/>
    <w:rsid w:val="0020031D"/>
    <w:rPr>
      <w:lang w:val="fr-FR"/>
    </w:rPr>
  </w:style>
  <w:style w:type="character" w:customStyle="1" w:styleId="Stijl1Char">
    <w:name w:val="Stijl1 Char"/>
    <w:basedOn w:val="Policepardfaut"/>
    <w:link w:val="Stijl1"/>
    <w:rsid w:val="0020031D"/>
    <w:rPr>
      <w:color w:val="404040" w:themeColor="text1" w:themeTint="B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56"/>
    <w:rPr>
      <w:color w:val="404040" w:themeColor="text1" w:themeTint="BF"/>
    </w:rPr>
  </w:style>
  <w:style w:type="paragraph" w:styleId="Titre1">
    <w:name w:val="heading 1"/>
    <w:basedOn w:val="Normal"/>
    <w:next w:val="Normal"/>
    <w:link w:val="Titre1Car"/>
    <w:uiPriority w:val="9"/>
    <w:qFormat/>
    <w:rsid w:val="0018528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4427A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4"/>
      <w:szCs w:val="28"/>
    </w:rPr>
  </w:style>
  <w:style w:type="paragraph" w:styleId="Titre3">
    <w:name w:val="heading 3"/>
    <w:basedOn w:val="Normal"/>
    <w:next w:val="Normal"/>
    <w:link w:val="Titre3Car"/>
    <w:uiPriority w:val="9"/>
    <w:unhideWhenUsed/>
    <w:qFormat/>
    <w:rsid w:val="004427A2"/>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unhideWhenUsed/>
    <w:qFormat/>
    <w:rsid w:val="0018528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8528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8528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8528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8528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8528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66A7"/>
    <w:pPr>
      <w:tabs>
        <w:tab w:val="center" w:pos="4536"/>
        <w:tab w:val="right" w:pos="9072"/>
      </w:tabs>
      <w:spacing w:after="0" w:line="240" w:lineRule="auto"/>
    </w:pPr>
  </w:style>
  <w:style w:type="character" w:customStyle="1" w:styleId="En-tteCar">
    <w:name w:val="En-tête Car"/>
    <w:basedOn w:val="Policepardfaut"/>
    <w:link w:val="En-tte"/>
    <w:uiPriority w:val="99"/>
    <w:rsid w:val="00EE66A7"/>
  </w:style>
  <w:style w:type="paragraph" w:styleId="Pieddepage">
    <w:name w:val="footer"/>
    <w:basedOn w:val="Normal"/>
    <w:link w:val="PieddepageCar"/>
    <w:uiPriority w:val="99"/>
    <w:unhideWhenUsed/>
    <w:rsid w:val="00EE6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6A7"/>
  </w:style>
  <w:style w:type="paragraph" w:styleId="Textedebulles">
    <w:name w:val="Balloon Text"/>
    <w:basedOn w:val="Normal"/>
    <w:link w:val="TextedebullesCar"/>
    <w:uiPriority w:val="99"/>
    <w:semiHidden/>
    <w:unhideWhenUsed/>
    <w:rsid w:val="00EE6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6A7"/>
    <w:rPr>
      <w:rFonts w:ascii="Tahoma" w:hAnsi="Tahoma" w:cs="Tahoma"/>
      <w:sz w:val="16"/>
      <w:szCs w:val="16"/>
    </w:rPr>
  </w:style>
  <w:style w:type="character" w:customStyle="1" w:styleId="Titre1Car">
    <w:name w:val="Titre 1 Car"/>
    <w:basedOn w:val="Policepardfaut"/>
    <w:link w:val="Titre1"/>
    <w:uiPriority w:val="9"/>
    <w:rsid w:val="0018528A"/>
    <w:rPr>
      <w:rFonts w:asciiTheme="majorHAnsi" w:eastAsiaTheme="majorEastAsia" w:hAnsiTheme="majorHAnsi" w:cstheme="majorBidi"/>
      <w:smallCaps/>
      <w:color w:val="0F243E" w:themeColor="text2" w:themeShade="7F"/>
      <w:spacing w:val="20"/>
      <w:sz w:val="32"/>
      <w:szCs w:val="32"/>
    </w:rPr>
  </w:style>
  <w:style w:type="paragraph" w:styleId="Paragraphedeliste">
    <w:name w:val="List Paragraph"/>
    <w:basedOn w:val="Normal"/>
    <w:uiPriority w:val="34"/>
    <w:qFormat/>
    <w:rsid w:val="0018528A"/>
    <w:pPr>
      <w:ind w:left="720"/>
      <w:contextualSpacing/>
    </w:pPr>
  </w:style>
  <w:style w:type="character" w:customStyle="1" w:styleId="Titre2Car">
    <w:name w:val="Titre 2 Car"/>
    <w:basedOn w:val="Policepardfaut"/>
    <w:link w:val="Titre2"/>
    <w:uiPriority w:val="9"/>
    <w:rsid w:val="004427A2"/>
    <w:rPr>
      <w:rFonts w:asciiTheme="majorHAnsi" w:eastAsiaTheme="majorEastAsia" w:hAnsiTheme="majorHAnsi" w:cstheme="majorBidi"/>
      <w:smallCaps/>
      <w:color w:val="17365D" w:themeColor="text2" w:themeShade="BF"/>
      <w:spacing w:val="20"/>
      <w:sz w:val="24"/>
      <w:szCs w:val="28"/>
    </w:rPr>
  </w:style>
  <w:style w:type="paragraph" w:styleId="TM1">
    <w:name w:val="toc 1"/>
    <w:basedOn w:val="Normal"/>
    <w:next w:val="Normal"/>
    <w:autoRedefine/>
    <w:uiPriority w:val="39"/>
    <w:unhideWhenUsed/>
    <w:rsid w:val="00D95034"/>
    <w:pPr>
      <w:spacing w:after="100"/>
    </w:pPr>
  </w:style>
  <w:style w:type="paragraph" w:styleId="TM2">
    <w:name w:val="toc 2"/>
    <w:basedOn w:val="Normal"/>
    <w:next w:val="Normal"/>
    <w:autoRedefine/>
    <w:uiPriority w:val="39"/>
    <w:unhideWhenUsed/>
    <w:rsid w:val="007210AB"/>
    <w:pPr>
      <w:tabs>
        <w:tab w:val="right" w:leader="dot" w:pos="9062"/>
      </w:tabs>
      <w:spacing w:after="100"/>
      <w:ind w:left="567"/>
    </w:pPr>
  </w:style>
  <w:style w:type="character" w:styleId="Lienhypertexte">
    <w:name w:val="Hyperlink"/>
    <w:basedOn w:val="Policepardfaut"/>
    <w:uiPriority w:val="99"/>
    <w:unhideWhenUsed/>
    <w:rsid w:val="00D95034"/>
    <w:rPr>
      <w:color w:val="0000FF" w:themeColor="hyperlink"/>
      <w:u w:val="single"/>
    </w:rPr>
  </w:style>
  <w:style w:type="paragraph" w:styleId="Notedebasdepage">
    <w:name w:val="footnote text"/>
    <w:basedOn w:val="Normal"/>
    <w:link w:val="NotedebasdepageCar"/>
    <w:uiPriority w:val="99"/>
    <w:unhideWhenUsed/>
    <w:rsid w:val="00B2264C"/>
    <w:pPr>
      <w:spacing w:after="0" w:line="240" w:lineRule="auto"/>
    </w:pPr>
  </w:style>
  <w:style w:type="character" w:customStyle="1" w:styleId="NotedebasdepageCar">
    <w:name w:val="Note de bas de page Car"/>
    <w:basedOn w:val="Policepardfaut"/>
    <w:link w:val="Notedebasdepage"/>
    <w:uiPriority w:val="99"/>
    <w:rsid w:val="00B2264C"/>
    <w:rPr>
      <w:sz w:val="20"/>
      <w:szCs w:val="20"/>
    </w:rPr>
  </w:style>
  <w:style w:type="character" w:styleId="Appelnotedebasdep">
    <w:name w:val="footnote reference"/>
    <w:basedOn w:val="Policepardfaut"/>
    <w:uiPriority w:val="99"/>
    <w:semiHidden/>
    <w:unhideWhenUsed/>
    <w:rsid w:val="00B2264C"/>
    <w:rPr>
      <w:vertAlign w:val="superscript"/>
    </w:rPr>
  </w:style>
  <w:style w:type="paragraph" w:styleId="NormalWeb">
    <w:name w:val="Normal (Web)"/>
    <w:basedOn w:val="Normal"/>
    <w:uiPriority w:val="99"/>
    <w:semiHidden/>
    <w:unhideWhenUsed/>
    <w:rsid w:val="00FF22F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Marquedecommentaire">
    <w:name w:val="annotation reference"/>
    <w:basedOn w:val="Policepardfaut"/>
    <w:uiPriority w:val="99"/>
    <w:semiHidden/>
    <w:unhideWhenUsed/>
    <w:rsid w:val="00933BEC"/>
    <w:rPr>
      <w:sz w:val="16"/>
      <w:szCs w:val="16"/>
    </w:rPr>
  </w:style>
  <w:style w:type="paragraph" w:styleId="Commentaire">
    <w:name w:val="annotation text"/>
    <w:basedOn w:val="Normal"/>
    <w:link w:val="CommentaireCar"/>
    <w:uiPriority w:val="99"/>
    <w:semiHidden/>
    <w:unhideWhenUsed/>
    <w:rsid w:val="00933BEC"/>
    <w:pPr>
      <w:spacing w:line="240" w:lineRule="auto"/>
    </w:pPr>
  </w:style>
  <w:style w:type="character" w:customStyle="1" w:styleId="CommentaireCar">
    <w:name w:val="Commentaire Car"/>
    <w:basedOn w:val="Policepardfaut"/>
    <w:link w:val="Commentaire"/>
    <w:uiPriority w:val="99"/>
    <w:semiHidden/>
    <w:rsid w:val="00933BEC"/>
    <w:rPr>
      <w:sz w:val="20"/>
      <w:szCs w:val="20"/>
    </w:rPr>
  </w:style>
  <w:style w:type="paragraph" w:styleId="Objetducommentaire">
    <w:name w:val="annotation subject"/>
    <w:basedOn w:val="Commentaire"/>
    <w:next w:val="Commentaire"/>
    <w:link w:val="ObjetducommentaireCar"/>
    <w:uiPriority w:val="99"/>
    <w:semiHidden/>
    <w:unhideWhenUsed/>
    <w:rsid w:val="00933BEC"/>
    <w:rPr>
      <w:b/>
      <w:bCs/>
    </w:rPr>
  </w:style>
  <w:style w:type="character" w:customStyle="1" w:styleId="ObjetducommentaireCar">
    <w:name w:val="Objet du commentaire Car"/>
    <w:basedOn w:val="CommentaireCar"/>
    <w:link w:val="Objetducommentaire"/>
    <w:uiPriority w:val="99"/>
    <w:semiHidden/>
    <w:rsid w:val="00933BEC"/>
    <w:rPr>
      <w:b/>
      <w:bCs/>
      <w:sz w:val="20"/>
      <w:szCs w:val="20"/>
    </w:rPr>
  </w:style>
  <w:style w:type="character" w:customStyle="1" w:styleId="Titre3Car">
    <w:name w:val="Titre 3 Car"/>
    <w:basedOn w:val="Policepardfaut"/>
    <w:link w:val="Titre3"/>
    <w:uiPriority w:val="9"/>
    <w:rsid w:val="004427A2"/>
    <w:rPr>
      <w:rFonts w:asciiTheme="majorHAnsi" w:eastAsiaTheme="majorEastAsia" w:hAnsiTheme="majorHAnsi" w:cstheme="majorBidi"/>
      <w:smallCaps/>
      <w:color w:val="1F497D" w:themeColor="text2"/>
      <w:spacing w:val="20"/>
      <w:szCs w:val="24"/>
    </w:rPr>
  </w:style>
  <w:style w:type="character" w:customStyle="1" w:styleId="Titre4Car">
    <w:name w:val="Titre 4 Car"/>
    <w:basedOn w:val="Policepardfaut"/>
    <w:link w:val="Titre4"/>
    <w:uiPriority w:val="9"/>
    <w:rsid w:val="0018528A"/>
    <w:rPr>
      <w:rFonts w:asciiTheme="majorHAnsi" w:eastAsiaTheme="majorEastAsia" w:hAnsiTheme="majorHAnsi" w:cstheme="majorBidi"/>
      <w:b/>
      <w:bCs/>
      <w:smallCaps/>
      <w:color w:val="3071C3" w:themeColor="text2" w:themeTint="BF"/>
      <w:spacing w:val="20"/>
    </w:rPr>
  </w:style>
  <w:style w:type="paragraph" w:styleId="TM3">
    <w:name w:val="toc 3"/>
    <w:basedOn w:val="Normal"/>
    <w:next w:val="Normal"/>
    <w:autoRedefine/>
    <w:uiPriority w:val="39"/>
    <w:unhideWhenUsed/>
    <w:rsid w:val="007210AB"/>
    <w:pPr>
      <w:tabs>
        <w:tab w:val="right" w:leader="dot" w:pos="9062"/>
      </w:tabs>
      <w:spacing w:after="100"/>
      <w:ind w:left="1134"/>
    </w:pPr>
  </w:style>
  <w:style w:type="table" w:styleId="Grilledutableau">
    <w:name w:val="Table Grid"/>
    <w:basedOn w:val="TableauNormal"/>
    <w:uiPriority w:val="59"/>
    <w:rsid w:val="003F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5DD9"/>
    <w:pPr>
      <w:widowControl w:val="0"/>
      <w:suppressAutoHyphens/>
      <w:spacing w:after="120" w:line="240" w:lineRule="auto"/>
    </w:pPr>
    <w:rPr>
      <w:rFonts w:ascii="Times New Roman" w:eastAsia="Arial Unicode MS" w:hAnsi="Times New Roman" w:cs="Times New Roman"/>
      <w:kern w:val="24"/>
      <w:sz w:val="24"/>
      <w:szCs w:val="24"/>
      <w:lang w:val="fr-FR" w:eastAsia="fr-BE"/>
    </w:rPr>
  </w:style>
  <w:style w:type="character" w:customStyle="1" w:styleId="CorpsdetexteCar">
    <w:name w:val="Corps de texte Car"/>
    <w:basedOn w:val="Policepardfaut"/>
    <w:link w:val="Corpsdetexte"/>
    <w:rsid w:val="00555DD9"/>
    <w:rPr>
      <w:rFonts w:ascii="Times New Roman" w:eastAsia="Arial Unicode MS" w:hAnsi="Times New Roman" w:cs="Times New Roman"/>
      <w:kern w:val="24"/>
      <w:sz w:val="24"/>
      <w:szCs w:val="24"/>
      <w:lang w:val="fr-FR" w:eastAsia="fr-BE"/>
    </w:rPr>
  </w:style>
  <w:style w:type="character" w:customStyle="1" w:styleId="tw4winMark">
    <w:name w:val="tw4winMark"/>
    <w:uiPriority w:val="99"/>
    <w:rsid w:val="005521F2"/>
    <w:rPr>
      <w:rFonts w:ascii="Courier New" w:hAnsi="Courier New"/>
      <w:vanish/>
      <w:color w:val="800080"/>
      <w:vertAlign w:val="subscript"/>
    </w:rPr>
  </w:style>
  <w:style w:type="character" w:styleId="Lienhypertextesuivivisit">
    <w:name w:val="FollowedHyperlink"/>
    <w:basedOn w:val="Policepardfaut"/>
    <w:uiPriority w:val="99"/>
    <w:semiHidden/>
    <w:unhideWhenUsed/>
    <w:rsid w:val="0002078D"/>
    <w:rPr>
      <w:color w:val="800080" w:themeColor="followedHyperlink"/>
      <w:u w:val="single"/>
    </w:rPr>
  </w:style>
  <w:style w:type="paragraph" w:styleId="En-ttedetabledesmatires">
    <w:name w:val="TOC Heading"/>
    <w:basedOn w:val="Titre1"/>
    <w:next w:val="Normal"/>
    <w:uiPriority w:val="39"/>
    <w:semiHidden/>
    <w:unhideWhenUsed/>
    <w:qFormat/>
    <w:rsid w:val="0018528A"/>
    <w:pPr>
      <w:outlineLvl w:val="9"/>
    </w:pPr>
    <w:rPr>
      <w:lang w:bidi="en-US"/>
    </w:rPr>
  </w:style>
  <w:style w:type="character" w:customStyle="1" w:styleId="Titre5Car">
    <w:name w:val="Titre 5 Car"/>
    <w:basedOn w:val="Policepardfaut"/>
    <w:link w:val="Titre5"/>
    <w:uiPriority w:val="9"/>
    <w:semiHidden/>
    <w:rsid w:val="0018528A"/>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8528A"/>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8528A"/>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8528A"/>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8528A"/>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8528A"/>
    <w:rPr>
      <w:b/>
      <w:bCs/>
      <w:smallCaps/>
      <w:color w:val="1F497D" w:themeColor="text2"/>
      <w:spacing w:val="10"/>
      <w:sz w:val="18"/>
      <w:szCs w:val="18"/>
    </w:rPr>
  </w:style>
  <w:style w:type="paragraph" w:styleId="Titre">
    <w:name w:val="Title"/>
    <w:next w:val="Normal"/>
    <w:link w:val="TitreCar"/>
    <w:uiPriority w:val="10"/>
    <w:qFormat/>
    <w:rsid w:val="0018528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8528A"/>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8528A"/>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8528A"/>
    <w:rPr>
      <w:smallCaps/>
      <w:color w:val="938953" w:themeColor="background2" w:themeShade="7F"/>
      <w:spacing w:val="5"/>
      <w:sz w:val="28"/>
      <w:szCs w:val="28"/>
    </w:rPr>
  </w:style>
  <w:style w:type="character" w:styleId="lev">
    <w:name w:val="Strong"/>
    <w:uiPriority w:val="22"/>
    <w:qFormat/>
    <w:rsid w:val="0018528A"/>
    <w:rPr>
      <w:b/>
      <w:bCs/>
      <w:spacing w:val="0"/>
    </w:rPr>
  </w:style>
  <w:style w:type="character" w:styleId="Accentuation">
    <w:name w:val="Emphasis"/>
    <w:uiPriority w:val="20"/>
    <w:qFormat/>
    <w:rsid w:val="0018528A"/>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18528A"/>
    <w:pPr>
      <w:spacing w:after="0" w:line="240" w:lineRule="auto"/>
    </w:pPr>
  </w:style>
  <w:style w:type="character" w:customStyle="1" w:styleId="SansinterligneCar">
    <w:name w:val="Sans interligne Car"/>
    <w:basedOn w:val="Policepardfaut"/>
    <w:link w:val="Sansinterligne"/>
    <w:uiPriority w:val="1"/>
    <w:rsid w:val="00F72140"/>
    <w:rPr>
      <w:color w:val="5A5A5A" w:themeColor="text1" w:themeTint="A5"/>
    </w:rPr>
  </w:style>
  <w:style w:type="paragraph" w:styleId="Citation">
    <w:name w:val="Quote"/>
    <w:basedOn w:val="Normal"/>
    <w:next w:val="Normal"/>
    <w:link w:val="CitationCar"/>
    <w:uiPriority w:val="29"/>
    <w:qFormat/>
    <w:rsid w:val="0018528A"/>
    <w:rPr>
      <w:i/>
      <w:iCs/>
    </w:rPr>
  </w:style>
  <w:style w:type="character" w:customStyle="1" w:styleId="CitationCar">
    <w:name w:val="Citation Car"/>
    <w:basedOn w:val="Policepardfaut"/>
    <w:link w:val="Citation"/>
    <w:uiPriority w:val="29"/>
    <w:rsid w:val="0018528A"/>
    <w:rPr>
      <w:i/>
      <w:iCs/>
      <w:color w:val="5A5A5A" w:themeColor="text1" w:themeTint="A5"/>
    </w:rPr>
  </w:style>
  <w:style w:type="paragraph" w:styleId="Citationintense">
    <w:name w:val="Intense Quote"/>
    <w:basedOn w:val="Normal"/>
    <w:next w:val="Normal"/>
    <w:link w:val="CitationintenseCar"/>
    <w:autoRedefine/>
    <w:uiPriority w:val="30"/>
    <w:qFormat/>
    <w:rsid w:val="00051B18"/>
    <w:pPr>
      <w:pBdr>
        <w:left w:val="single" w:sz="12" w:space="15" w:color="7BA0CD" w:themeColor="accent1" w:themeTint="BF"/>
        <w:bar w:val="single" w:sz="4" w:color="7BA0CD" w:themeColor="accent1" w:themeTint="BF"/>
      </w:pBdr>
      <w:tabs>
        <w:tab w:val="left" w:pos="1560"/>
        <w:tab w:val="left" w:pos="1843"/>
        <w:tab w:val="left" w:pos="2835"/>
      </w:tabs>
      <w:spacing w:line="300" w:lineRule="auto"/>
      <w:ind w:left="2410" w:right="19"/>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51B18"/>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8528A"/>
    <w:rPr>
      <w:smallCaps/>
      <w:dstrike w:val="0"/>
      <w:color w:val="5A5A5A" w:themeColor="text1" w:themeTint="A5"/>
      <w:vertAlign w:val="baseline"/>
    </w:rPr>
  </w:style>
  <w:style w:type="character" w:styleId="Emphaseintense">
    <w:name w:val="Intense Emphasis"/>
    <w:uiPriority w:val="21"/>
    <w:qFormat/>
    <w:rsid w:val="0018528A"/>
    <w:rPr>
      <w:b/>
      <w:bCs/>
      <w:smallCaps/>
      <w:color w:val="4F81BD" w:themeColor="accent1"/>
      <w:spacing w:val="40"/>
    </w:rPr>
  </w:style>
  <w:style w:type="character" w:styleId="Rfrenceple">
    <w:name w:val="Subtle Reference"/>
    <w:uiPriority w:val="31"/>
    <w:qFormat/>
    <w:rsid w:val="0018528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8528A"/>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8528A"/>
    <w:rPr>
      <w:rFonts w:asciiTheme="majorHAnsi" w:eastAsiaTheme="majorEastAsia" w:hAnsiTheme="majorHAnsi" w:cstheme="majorBidi"/>
      <w:b/>
      <w:bCs/>
      <w:smallCaps/>
      <w:color w:val="17365D" w:themeColor="text2" w:themeShade="BF"/>
      <w:spacing w:val="10"/>
      <w:u w:val="single"/>
    </w:rPr>
  </w:style>
  <w:style w:type="paragraph" w:customStyle="1" w:styleId="Stijl1">
    <w:name w:val="Stijl1"/>
    <w:basedOn w:val="Normal"/>
    <w:link w:val="Stijl1Char"/>
    <w:qFormat/>
    <w:rsid w:val="0020031D"/>
    <w:rPr>
      <w:lang w:val="fr-FR"/>
    </w:rPr>
  </w:style>
  <w:style w:type="character" w:customStyle="1" w:styleId="Stijl1Char">
    <w:name w:val="Stijl1 Char"/>
    <w:basedOn w:val="Policepardfaut"/>
    <w:link w:val="Stijl1"/>
    <w:rsid w:val="0020031D"/>
    <w:rPr>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5643">
      <w:bodyDiv w:val="1"/>
      <w:marLeft w:val="0"/>
      <w:marRight w:val="0"/>
      <w:marTop w:val="0"/>
      <w:marBottom w:val="0"/>
      <w:divBdr>
        <w:top w:val="none" w:sz="0" w:space="0" w:color="auto"/>
        <w:left w:val="none" w:sz="0" w:space="0" w:color="auto"/>
        <w:bottom w:val="none" w:sz="0" w:space="0" w:color="auto"/>
        <w:right w:val="none" w:sz="0" w:space="0" w:color="auto"/>
      </w:divBdr>
    </w:div>
    <w:div w:id="1309893602">
      <w:bodyDiv w:val="1"/>
      <w:marLeft w:val="0"/>
      <w:marRight w:val="0"/>
      <w:marTop w:val="0"/>
      <w:marBottom w:val="0"/>
      <w:divBdr>
        <w:top w:val="none" w:sz="0" w:space="0" w:color="auto"/>
        <w:left w:val="none" w:sz="0" w:space="0" w:color="auto"/>
        <w:bottom w:val="none" w:sz="0" w:space="0" w:color="auto"/>
        <w:right w:val="none" w:sz="0" w:space="0" w:color="auto"/>
      </w:divBdr>
    </w:div>
    <w:div w:id="1399673606">
      <w:bodyDiv w:val="1"/>
      <w:marLeft w:val="0"/>
      <w:marRight w:val="0"/>
      <w:marTop w:val="0"/>
      <w:marBottom w:val="0"/>
      <w:divBdr>
        <w:top w:val="none" w:sz="0" w:space="0" w:color="auto"/>
        <w:left w:val="none" w:sz="0" w:space="0" w:color="auto"/>
        <w:bottom w:val="none" w:sz="0" w:space="0" w:color="auto"/>
        <w:right w:val="none" w:sz="0" w:space="0" w:color="auto"/>
      </w:divBdr>
    </w:div>
    <w:div w:id="15979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gender.eu/uploads/files/Gender%20Studies%20Tuning%20brochure%20Printed%20version%20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mp.be/omzendbrief/5057048/omzendbrieven_20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bt-ep.eu/wp-content/uploads/2012/10/European-Parliament-Study-PE462.482-Towards-an-EU-roadmap-for-equality-on-grounds-of-sexual-orientation-and-gender-identity.pdf" TargetMode="External"/><Relationship Id="rId5" Type="http://schemas.openxmlformats.org/officeDocument/2006/relationships/settings" Target="settings.xml"/><Relationship Id="rId15" Type="http://schemas.openxmlformats.org/officeDocument/2006/relationships/hyperlink" Target="http://www.diversite.be" TargetMode="External"/><Relationship Id="rId10" Type="http://schemas.openxmlformats.org/officeDocument/2006/relationships/hyperlink" Target="http://fra.europa.eu/en/survey/2012/eu-lgbt-surve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phia.be/index.php/nl/pages/view/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118B-266B-4AB6-B940-BFAD1B79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11453</Words>
  <Characters>62992</Characters>
  <Application>Microsoft Office Word</Application>
  <DocSecurity>0</DocSecurity>
  <Lines>524</Lines>
  <Paragraphs>148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Aendenboom</dc:creator>
  <cp:lastModifiedBy>Laure Gréban</cp:lastModifiedBy>
  <cp:revision>3</cp:revision>
  <cp:lastPrinted>2014-01-28T15:28:00Z</cp:lastPrinted>
  <dcterms:created xsi:type="dcterms:W3CDTF">2014-01-28T15:28:00Z</dcterms:created>
  <dcterms:modified xsi:type="dcterms:W3CDTF">2014-01-28T15:28:00Z</dcterms:modified>
</cp:coreProperties>
</file>