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27295" w14:textId="77777777" w:rsidR="00644F21" w:rsidRDefault="00644F21" w:rsidP="003D5FAA">
      <w:pPr>
        <w:jc w:val="center"/>
        <w:rPr>
          <w:rFonts w:asciiTheme="minorHAnsi" w:hAnsiTheme="minorHAnsi"/>
          <w:b/>
        </w:rPr>
      </w:pPr>
    </w:p>
    <w:p w14:paraId="7AE26A1C" w14:textId="187D7D99" w:rsidR="003D5FAA" w:rsidRPr="009501D2" w:rsidRDefault="00395A67" w:rsidP="003D5FAA">
      <w:pPr>
        <w:jc w:val="center"/>
        <w:rPr>
          <w:rFonts w:asciiTheme="minorHAnsi" w:hAnsiTheme="minorHAnsi"/>
          <w:b/>
          <w:sz w:val="28"/>
          <w:szCs w:val="28"/>
        </w:rPr>
      </w:pPr>
      <w:r w:rsidRPr="009501D2">
        <w:rPr>
          <w:rFonts w:asciiTheme="minorHAnsi" w:hAnsiTheme="minorHAnsi"/>
          <w:b/>
          <w:sz w:val="28"/>
        </w:rPr>
        <w:t xml:space="preserve">Aanbeveling 178 van </w:t>
      </w:r>
      <w:r w:rsidR="00212F9A">
        <w:rPr>
          <w:rFonts w:asciiTheme="minorHAnsi" w:hAnsiTheme="minorHAnsi"/>
          <w:b/>
          <w:sz w:val="28"/>
        </w:rPr>
        <w:t>31</w:t>
      </w:r>
      <w:r w:rsidRPr="009501D2">
        <w:rPr>
          <w:rFonts w:asciiTheme="minorHAnsi" w:hAnsiTheme="minorHAnsi"/>
          <w:b/>
          <w:sz w:val="28"/>
        </w:rPr>
        <w:t>/3/2017</w:t>
      </w:r>
    </w:p>
    <w:p w14:paraId="5B0DA5E9" w14:textId="77777777" w:rsidR="007A402A" w:rsidRPr="00395A67" w:rsidRDefault="007A402A" w:rsidP="007A402A">
      <w:pPr>
        <w:jc w:val="center"/>
        <w:rPr>
          <w:rFonts w:asciiTheme="minorHAnsi" w:hAnsiTheme="minorHAnsi"/>
          <w:b/>
          <w:caps/>
          <w:sz w:val="28"/>
          <w:szCs w:val="28"/>
        </w:rPr>
      </w:pPr>
    </w:p>
    <w:p w14:paraId="35A2D1A8" w14:textId="61EF2ECA" w:rsidR="00395A67" w:rsidRPr="009501D2" w:rsidRDefault="00395A67" w:rsidP="007A402A">
      <w:pPr>
        <w:pBdr>
          <w:top w:val="single" w:sz="4" w:space="1" w:color="auto"/>
          <w:left w:val="single" w:sz="4" w:space="4" w:color="auto"/>
          <w:bottom w:val="single" w:sz="4" w:space="1" w:color="auto"/>
          <w:right w:val="single" w:sz="4" w:space="4" w:color="auto"/>
        </w:pBdr>
        <w:jc w:val="center"/>
        <w:rPr>
          <w:rFonts w:asciiTheme="minorHAnsi" w:hAnsiTheme="minorHAnsi"/>
          <w:b/>
          <w:caps/>
          <w:sz w:val="28"/>
          <w:szCs w:val="28"/>
        </w:rPr>
      </w:pPr>
      <w:r w:rsidRPr="009501D2">
        <w:rPr>
          <w:rFonts w:asciiTheme="minorHAnsi" w:hAnsiTheme="minorHAnsi"/>
          <w:b/>
          <w:caps/>
          <w:sz w:val="28"/>
        </w:rPr>
        <w:t>Voor een kaderordonnantie betreffende de bestrijding van discriminatie in het B</w:t>
      </w:r>
      <w:r w:rsidR="009501D2">
        <w:rPr>
          <w:rFonts w:asciiTheme="minorHAnsi" w:hAnsiTheme="minorHAnsi"/>
          <w:b/>
          <w:caps/>
          <w:sz w:val="28"/>
        </w:rPr>
        <w:t>russels Hoofdste</w:t>
      </w:r>
      <w:r w:rsidR="00660065">
        <w:rPr>
          <w:rFonts w:asciiTheme="minorHAnsi" w:hAnsiTheme="minorHAnsi"/>
          <w:b/>
          <w:caps/>
          <w:sz w:val="28"/>
        </w:rPr>
        <w:t>de</w:t>
      </w:r>
      <w:bookmarkStart w:id="0" w:name="_GoBack"/>
      <w:bookmarkEnd w:id="0"/>
      <w:r w:rsidR="009501D2">
        <w:rPr>
          <w:rFonts w:asciiTheme="minorHAnsi" w:hAnsiTheme="minorHAnsi"/>
          <w:b/>
          <w:caps/>
          <w:sz w:val="28"/>
        </w:rPr>
        <w:t>lijk gewest</w:t>
      </w:r>
    </w:p>
    <w:p w14:paraId="4251F718" w14:textId="77777777" w:rsidR="007A402A" w:rsidRPr="00395A67" w:rsidRDefault="007A402A" w:rsidP="007A402A">
      <w:pPr>
        <w:pBdr>
          <w:top w:val="single" w:sz="4" w:space="1" w:color="auto"/>
          <w:left w:val="single" w:sz="4" w:space="4" w:color="auto"/>
          <w:bottom w:val="single" w:sz="4" w:space="1" w:color="auto"/>
          <w:right w:val="single" w:sz="4" w:space="4" w:color="auto"/>
        </w:pBdr>
        <w:rPr>
          <w:rFonts w:asciiTheme="minorHAnsi" w:hAnsiTheme="minorHAnsi"/>
          <w:b/>
          <w:caps/>
          <w:sz w:val="28"/>
          <w:szCs w:val="28"/>
        </w:rPr>
      </w:pPr>
    </w:p>
    <w:p w14:paraId="5D811E1F" w14:textId="2253EB7B" w:rsidR="007A402A" w:rsidRDefault="007A402A" w:rsidP="007A402A">
      <w:pPr>
        <w:pBdr>
          <w:top w:val="single" w:sz="4" w:space="1" w:color="auto"/>
          <w:left w:val="single" w:sz="4" w:space="4" w:color="auto"/>
          <w:bottom w:val="single" w:sz="4" w:space="1" w:color="auto"/>
          <w:right w:val="single" w:sz="4" w:space="4" w:color="auto"/>
        </w:pBdr>
        <w:rPr>
          <w:i/>
        </w:rPr>
      </w:pPr>
      <w:r>
        <w:rPr>
          <w:i/>
        </w:rPr>
        <w:t>Unia beveelt de goedkeuring aan van een algemene kaderordonnantie ter bestrijding van discriminatie, die van toepassing zou zijn op alle bevoegdheidsdomeinen van het Brussels Hoofdstedelijk Gewest en die alle criteria dekt die moeten worden beschermd, om op die manier de bescherming van de burgers doorheen alle gewestbevoegdheden en op de verschillende Belgische bevoegdheidsniveaus te stroomlijnen.</w:t>
      </w:r>
    </w:p>
    <w:p w14:paraId="54B2BFAB" w14:textId="77777777" w:rsidR="009501D2" w:rsidRPr="007A402A" w:rsidRDefault="009501D2" w:rsidP="007A402A">
      <w:pPr>
        <w:pBdr>
          <w:top w:val="single" w:sz="4" w:space="1" w:color="auto"/>
          <w:left w:val="single" w:sz="4" w:space="4" w:color="auto"/>
          <w:bottom w:val="single" w:sz="4" w:space="1" w:color="auto"/>
          <w:right w:val="single" w:sz="4" w:space="4" w:color="auto"/>
        </w:pBdr>
        <w:rPr>
          <w:i/>
        </w:rPr>
      </w:pPr>
    </w:p>
    <w:sdt>
      <w:sdtPr>
        <w:rPr>
          <w:rFonts w:ascii="Calibri" w:eastAsia="Times New Roman" w:hAnsi="Calibri" w:cs="Times New Roman"/>
          <w:b w:val="0"/>
          <w:bCs w:val="0"/>
          <w:noProof/>
          <w:color w:val="auto"/>
          <w:sz w:val="24"/>
          <w:szCs w:val="24"/>
        </w:rPr>
        <w:id w:val="-431744226"/>
        <w:docPartObj>
          <w:docPartGallery w:val="Table of Contents"/>
          <w:docPartUnique/>
        </w:docPartObj>
      </w:sdtPr>
      <w:sdtEndPr>
        <w:rPr>
          <w:noProof w:val="0"/>
        </w:rPr>
      </w:sdtEndPr>
      <w:sdtContent>
        <w:sdt>
          <w:sdtPr>
            <w:rPr>
              <w:rFonts w:ascii="Calibri" w:eastAsia="Times New Roman" w:hAnsi="Calibri" w:cs="Times New Roman"/>
              <w:b w:val="0"/>
              <w:bCs w:val="0"/>
              <w:color w:val="auto"/>
              <w:sz w:val="24"/>
              <w:szCs w:val="24"/>
              <w:lang w:val="fr-FR" w:eastAsia="fr-FR" w:bidi="ar-SA"/>
            </w:rPr>
            <w:id w:val="416598770"/>
            <w:docPartObj>
              <w:docPartGallery w:val="Table of Contents"/>
              <w:docPartUnique/>
            </w:docPartObj>
          </w:sdtPr>
          <w:sdtEndPr/>
          <w:sdtContent>
            <w:p w14:paraId="14BE2EAB" w14:textId="4E9E3B21" w:rsidR="004D3C58" w:rsidRPr="00201D62" w:rsidRDefault="004D3C58" w:rsidP="00201D62">
              <w:pPr>
                <w:pStyle w:val="En-ttedetabledesmatires"/>
                <w:jc w:val="center"/>
                <w:rPr>
                  <w:rFonts w:asciiTheme="minorHAnsi" w:hAnsiTheme="minorHAnsi"/>
                  <w:color w:val="auto"/>
                </w:rPr>
              </w:pPr>
              <w:r w:rsidRPr="00201D62">
                <w:rPr>
                  <w:rFonts w:asciiTheme="minorHAnsi" w:hAnsiTheme="minorHAnsi"/>
                  <w:color w:val="auto"/>
                </w:rPr>
                <w:t>Inhoud</w:t>
              </w:r>
            </w:p>
            <w:p w14:paraId="38FCA04B" w14:textId="77777777" w:rsidR="00201D62" w:rsidRPr="00220D02" w:rsidRDefault="00201D62" w:rsidP="00201D62">
              <w:pPr>
                <w:rPr>
                  <w:rFonts w:eastAsiaTheme="majorEastAsia"/>
                  <w:lang w:val="fr-FR" w:eastAsia="fr-FR" w:bidi="ar-SA"/>
                </w:rPr>
              </w:pPr>
            </w:p>
            <w:p w14:paraId="1586E142" w14:textId="77777777" w:rsidR="00220D02" w:rsidRPr="00220D02" w:rsidRDefault="004D3C58">
              <w:pPr>
                <w:pStyle w:val="TM1"/>
                <w:rPr>
                  <w:rFonts w:asciiTheme="minorHAnsi" w:eastAsiaTheme="minorEastAsia" w:hAnsiTheme="minorHAnsi" w:cstheme="minorBidi"/>
                  <w:color w:val="auto"/>
                  <w:sz w:val="22"/>
                  <w:szCs w:val="22"/>
                  <w:lang w:val="fr-BE" w:eastAsia="fr-BE" w:bidi="ar-SA"/>
                </w:rPr>
              </w:pPr>
              <w:r w:rsidRPr="00220D02">
                <w:rPr>
                  <w:color w:val="auto"/>
                  <w:lang w:val="fr-FR" w:eastAsia="fr-FR" w:bidi="ar-SA"/>
                </w:rPr>
                <w:fldChar w:fldCharType="begin"/>
              </w:r>
              <w:r w:rsidRPr="00220D02">
                <w:rPr>
                  <w:color w:val="auto"/>
                  <w:lang w:val="fr-FR" w:eastAsia="fr-FR" w:bidi="ar-SA"/>
                </w:rPr>
                <w:instrText xml:space="preserve"> TOC \o "1-3" \h \z \u </w:instrText>
              </w:r>
              <w:r w:rsidRPr="00220D02">
                <w:rPr>
                  <w:color w:val="auto"/>
                  <w:lang w:val="fr-FR" w:eastAsia="fr-FR" w:bidi="ar-SA"/>
                </w:rPr>
                <w:fldChar w:fldCharType="separate"/>
              </w:r>
              <w:hyperlink w:anchor="_Toc478481366" w:history="1">
                <w:r w:rsidR="00220D02" w:rsidRPr="00220D02">
                  <w:rPr>
                    <w:rStyle w:val="Lienhypertexte"/>
                    <w:color w:val="auto"/>
                  </w:rPr>
                  <w:t>1.</w:t>
                </w:r>
                <w:r w:rsidR="00220D02" w:rsidRPr="00220D02">
                  <w:rPr>
                    <w:rFonts w:asciiTheme="minorHAnsi" w:eastAsiaTheme="minorEastAsia" w:hAnsiTheme="minorHAnsi" w:cstheme="minorBidi"/>
                    <w:color w:val="auto"/>
                    <w:sz w:val="22"/>
                    <w:szCs w:val="22"/>
                    <w:lang w:val="fr-BE" w:eastAsia="fr-BE" w:bidi="ar-SA"/>
                  </w:rPr>
                  <w:tab/>
                </w:r>
                <w:r w:rsidR="00220D02" w:rsidRPr="00220D02">
                  <w:rPr>
                    <w:rStyle w:val="Lienhypertexte"/>
                    <w:color w:val="auto"/>
                  </w:rPr>
                  <w:t>Overzicht van de voor het BHG relevante antidiscriminatiewetgeving</w:t>
                </w:r>
                <w:r w:rsidR="00220D02" w:rsidRPr="00220D02">
                  <w:rPr>
                    <w:webHidden/>
                    <w:color w:val="auto"/>
                  </w:rPr>
                  <w:tab/>
                </w:r>
                <w:r w:rsidR="00220D02" w:rsidRPr="00220D02">
                  <w:rPr>
                    <w:webHidden/>
                    <w:color w:val="auto"/>
                  </w:rPr>
                  <w:fldChar w:fldCharType="begin"/>
                </w:r>
                <w:r w:rsidR="00220D02" w:rsidRPr="00220D02">
                  <w:rPr>
                    <w:webHidden/>
                    <w:color w:val="auto"/>
                  </w:rPr>
                  <w:instrText xml:space="preserve"> PAGEREF _Toc478481366 \h </w:instrText>
                </w:r>
                <w:r w:rsidR="00220D02" w:rsidRPr="00220D02">
                  <w:rPr>
                    <w:webHidden/>
                    <w:color w:val="auto"/>
                  </w:rPr>
                </w:r>
                <w:r w:rsidR="00220D02" w:rsidRPr="00220D02">
                  <w:rPr>
                    <w:webHidden/>
                    <w:color w:val="auto"/>
                  </w:rPr>
                  <w:fldChar w:fldCharType="separate"/>
                </w:r>
                <w:r w:rsidR="00220D02" w:rsidRPr="00220D02">
                  <w:rPr>
                    <w:webHidden/>
                    <w:color w:val="auto"/>
                  </w:rPr>
                  <w:t>1</w:t>
                </w:r>
                <w:r w:rsidR="00220D02" w:rsidRPr="00220D02">
                  <w:rPr>
                    <w:webHidden/>
                    <w:color w:val="auto"/>
                  </w:rPr>
                  <w:fldChar w:fldCharType="end"/>
                </w:r>
              </w:hyperlink>
            </w:p>
            <w:p w14:paraId="727C5679" w14:textId="77777777" w:rsidR="00220D02" w:rsidRPr="00220D02" w:rsidRDefault="002A7F88">
              <w:pPr>
                <w:pStyle w:val="TM1"/>
                <w:rPr>
                  <w:rFonts w:asciiTheme="minorHAnsi" w:eastAsiaTheme="minorEastAsia" w:hAnsiTheme="minorHAnsi" w:cstheme="minorBidi"/>
                  <w:color w:val="auto"/>
                  <w:sz w:val="22"/>
                  <w:szCs w:val="22"/>
                  <w:lang w:val="fr-BE" w:eastAsia="fr-BE" w:bidi="ar-SA"/>
                </w:rPr>
              </w:pPr>
              <w:hyperlink w:anchor="_Toc478481367" w:history="1">
                <w:r w:rsidR="00220D02" w:rsidRPr="00220D02">
                  <w:rPr>
                    <w:rStyle w:val="Lienhypertexte"/>
                    <w:color w:val="auto"/>
                  </w:rPr>
                  <w:t>2.</w:t>
                </w:r>
                <w:r w:rsidR="00220D02" w:rsidRPr="00220D02">
                  <w:rPr>
                    <w:rFonts w:asciiTheme="minorHAnsi" w:eastAsiaTheme="minorEastAsia" w:hAnsiTheme="minorHAnsi" w:cstheme="minorBidi"/>
                    <w:color w:val="auto"/>
                    <w:sz w:val="22"/>
                    <w:szCs w:val="22"/>
                    <w:lang w:val="fr-BE" w:eastAsia="fr-BE" w:bidi="ar-SA"/>
                  </w:rPr>
                  <w:tab/>
                </w:r>
                <w:r w:rsidR="00220D02" w:rsidRPr="00220D02">
                  <w:rPr>
                    <w:rStyle w:val="Lienhypertexte"/>
                    <w:color w:val="auto"/>
                  </w:rPr>
                  <w:t>Lacunes of interne conflicten binnen de gewestelijke regeling vóór de inwerkingtreding van de zesde Staatshervorming</w:t>
                </w:r>
                <w:r w:rsidR="00220D02" w:rsidRPr="00220D02">
                  <w:rPr>
                    <w:webHidden/>
                    <w:color w:val="auto"/>
                  </w:rPr>
                  <w:tab/>
                </w:r>
                <w:r w:rsidR="00220D02" w:rsidRPr="00220D02">
                  <w:rPr>
                    <w:webHidden/>
                    <w:color w:val="auto"/>
                  </w:rPr>
                  <w:fldChar w:fldCharType="begin"/>
                </w:r>
                <w:r w:rsidR="00220D02" w:rsidRPr="00220D02">
                  <w:rPr>
                    <w:webHidden/>
                    <w:color w:val="auto"/>
                  </w:rPr>
                  <w:instrText xml:space="preserve"> PAGEREF _Toc478481367 \h </w:instrText>
                </w:r>
                <w:r w:rsidR="00220D02" w:rsidRPr="00220D02">
                  <w:rPr>
                    <w:webHidden/>
                    <w:color w:val="auto"/>
                  </w:rPr>
                </w:r>
                <w:r w:rsidR="00220D02" w:rsidRPr="00220D02">
                  <w:rPr>
                    <w:webHidden/>
                    <w:color w:val="auto"/>
                  </w:rPr>
                  <w:fldChar w:fldCharType="separate"/>
                </w:r>
                <w:r w:rsidR="00220D02" w:rsidRPr="00220D02">
                  <w:rPr>
                    <w:webHidden/>
                    <w:color w:val="auto"/>
                  </w:rPr>
                  <w:t>2</w:t>
                </w:r>
                <w:r w:rsidR="00220D02" w:rsidRPr="00220D02">
                  <w:rPr>
                    <w:webHidden/>
                    <w:color w:val="auto"/>
                  </w:rPr>
                  <w:fldChar w:fldCharType="end"/>
                </w:r>
              </w:hyperlink>
            </w:p>
            <w:p w14:paraId="270E5453" w14:textId="77777777" w:rsidR="00220D02" w:rsidRPr="00220D02" w:rsidRDefault="002A7F88">
              <w:pPr>
                <w:pStyle w:val="TM1"/>
                <w:rPr>
                  <w:rFonts w:asciiTheme="minorHAnsi" w:eastAsiaTheme="minorEastAsia" w:hAnsiTheme="minorHAnsi" w:cstheme="minorBidi"/>
                  <w:color w:val="auto"/>
                  <w:sz w:val="22"/>
                  <w:szCs w:val="22"/>
                  <w:lang w:val="fr-BE" w:eastAsia="fr-BE" w:bidi="ar-SA"/>
                </w:rPr>
              </w:pPr>
              <w:hyperlink w:anchor="_Toc478481368" w:history="1">
                <w:r w:rsidR="00220D02" w:rsidRPr="00220D02">
                  <w:rPr>
                    <w:rStyle w:val="Lienhypertexte"/>
                    <w:color w:val="auto"/>
                  </w:rPr>
                  <w:t>3.</w:t>
                </w:r>
                <w:r w:rsidR="00220D02" w:rsidRPr="00220D02">
                  <w:rPr>
                    <w:rFonts w:asciiTheme="minorHAnsi" w:eastAsiaTheme="minorEastAsia" w:hAnsiTheme="minorHAnsi" w:cstheme="minorBidi"/>
                    <w:color w:val="auto"/>
                    <w:sz w:val="22"/>
                    <w:szCs w:val="22"/>
                    <w:lang w:val="fr-BE" w:eastAsia="fr-BE" w:bidi="ar-SA"/>
                  </w:rPr>
                  <w:tab/>
                </w:r>
                <w:r w:rsidR="00220D02" w:rsidRPr="00220D02">
                  <w:rPr>
                    <w:rStyle w:val="Lienhypertexte"/>
                    <w:color w:val="auto"/>
                  </w:rPr>
                  <w:t>Lacunes of interne conflicten binnen de gewestelijke regeling na de inwerkingtreding van de zesde Staatshervorming</w:t>
                </w:r>
                <w:r w:rsidR="00220D02" w:rsidRPr="00220D02">
                  <w:rPr>
                    <w:webHidden/>
                    <w:color w:val="auto"/>
                  </w:rPr>
                  <w:tab/>
                </w:r>
                <w:r w:rsidR="00220D02" w:rsidRPr="00220D02">
                  <w:rPr>
                    <w:webHidden/>
                    <w:color w:val="auto"/>
                  </w:rPr>
                  <w:fldChar w:fldCharType="begin"/>
                </w:r>
                <w:r w:rsidR="00220D02" w:rsidRPr="00220D02">
                  <w:rPr>
                    <w:webHidden/>
                    <w:color w:val="auto"/>
                  </w:rPr>
                  <w:instrText xml:space="preserve"> PAGEREF _Toc478481368 \h </w:instrText>
                </w:r>
                <w:r w:rsidR="00220D02" w:rsidRPr="00220D02">
                  <w:rPr>
                    <w:webHidden/>
                    <w:color w:val="auto"/>
                  </w:rPr>
                </w:r>
                <w:r w:rsidR="00220D02" w:rsidRPr="00220D02">
                  <w:rPr>
                    <w:webHidden/>
                    <w:color w:val="auto"/>
                  </w:rPr>
                  <w:fldChar w:fldCharType="separate"/>
                </w:r>
                <w:r w:rsidR="00220D02" w:rsidRPr="00220D02">
                  <w:rPr>
                    <w:webHidden/>
                    <w:color w:val="auto"/>
                  </w:rPr>
                  <w:t>4</w:t>
                </w:r>
                <w:r w:rsidR="00220D02" w:rsidRPr="00220D02">
                  <w:rPr>
                    <w:webHidden/>
                    <w:color w:val="auto"/>
                  </w:rPr>
                  <w:fldChar w:fldCharType="end"/>
                </w:r>
              </w:hyperlink>
            </w:p>
            <w:p w14:paraId="6BC5AB13" w14:textId="77777777" w:rsidR="00220D02" w:rsidRPr="00220D02" w:rsidRDefault="002A7F88">
              <w:pPr>
                <w:pStyle w:val="TM1"/>
                <w:rPr>
                  <w:rFonts w:asciiTheme="minorHAnsi" w:eastAsiaTheme="minorEastAsia" w:hAnsiTheme="minorHAnsi" w:cstheme="minorBidi"/>
                  <w:color w:val="auto"/>
                  <w:sz w:val="22"/>
                  <w:szCs w:val="22"/>
                  <w:lang w:val="fr-BE" w:eastAsia="fr-BE" w:bidi="ar-SA"/>
                </w:rPr>
              </w:pPr>
              <w:hyperlink w:anchor="_Toc478481369" w:history="1">
                <w:r w:rsidR="00220D02" w:rsidRPr="00220D02">
                  <w:rPr>
                    <w:rStyle w:val="Lienhypertexte"/>
                    <w:color w:val="auto"/>
                  </w:rPr>
                  <w:t>4.</w:t>
                </w:r>
                <w:r w:rsidR="00220D02" w:rsidRPr="00220D02">
                  <w:rPr>
                    <w:rFonts w:asciiTheme="minorHAnsi" w:eastAsiaTheme="minorEastAsia" w:hAnsiTheme="minorHAnsi" w:cstheme="minorBidi"/>
                    <w:color w:val="auto"/>
                    <w:sz w:val="22"/>
                    <w:szCs w:val="22"/>
                    <w:lang w:val="fr-BE" w:eastAsia="fr-BE" w:bidi="ar-SA"/>
                  </w:rPr>
                  <w:tab/>
                </w:r>
                <w:r w:rsidR="00220D02" w:rsidRPr="00220D02">
                  <w:rPr>
                    <w:rStyle w:val="Lienhypertexte"/>
                    <w:color w:val="auto"/>
                  </w:rPr>
                  <w:t>Gevolgen voor de Brusselse burgers</w:t>
                </w:r>
                <w:r w:rsidR="00220D02" w:rsidRPr="00220D02">
                  <w:rPr>
                    <w:webHidden/>
                    <w:color w:val="auto"/>
                  </w:rPr>
                  <w:tab/>
                </w:r>
                <w:r w:rsidR="00220D02" w:rsidRPr="00220D02">
                  <w:rPr>
                    <w:webHidden/>
                    <w:color w:val="auto"/>
                  </w:rPr>
                  <w:fldChar w:fldCharType="begin"/>
                </w:r>
                <w:r w:rsidR="00220D02" w:rsidRPr="00220D02">
                  <w:rPr>
                    <w:webHidden/>
                    <w:color w:val="auto"/>
                  </w:rPr>
                  <w:instrText xml:space="preserve"> PAGEREF _Toc478481369 \h </w:instrText>
                </w:r>
                <w:r w:rsidR="00220D02" w:rsidRPr="00220D02">
                  <w:rPr>
                    <w:webHidden/>
                    <w:color w:val="auto"/>
                  </w:rPr>
                </w:r>
                <w:r w:rsidR="00220D02" w:rsidRPr="00220D02">
                  <w:rPr>
                    <w:webHidden/>
                    <w:color w:val="auto"/>
                  </w:rPr>
                  <w:fldChar w:fldCharType="separate"/>
                </w:r>
                <w:r w:rsidR="00220D02" w:rsidRPr="00220D02">
                  <w:rPr>
                    <w:webHidden/>
                    <w:color w:val="auto"/>
                  </w:rPr>
                  <w:t>4</w:t>
                </w:r>
                <w:r w:rsidR="00220D02" w:rsidRPr="00220D02">
                  <w:rPr>
                    <w:webHidden/>
                    <w:color w:val="auto"/>
                  </w:rPr>
                  <w:fldChar w:fldCharType="end"/>
                </w:r>
              </w:hyperlink>
            </w:p>
            <w:p w14:paraId="1940D737" w14:textId="77777777" w:rsidR="00220D02" w:rsidRPr="00220D02" w:rsidRDefault="002A7F88">
              <w:pPr>
                <w:pStyle w:val="TM1"/>
                <w:rPr>
                  <w:rFonts w:asciiTheme="minorHAnsi" w:eastAsiaTheme="minorEastAsia" w:hAnsiTheme="minorHAnsi" w:cstheme="minorBidi"/>
                  <w:color w:val="auto"/>
                  <w:sz w:val="22"/>
                  <w:szCs w:val="22"/>
                  <w:lang w:val="fr-BE" w:eastAsia="fr-BE" w:bidi="ar-SA"/>
                </w:rPr>
              </w:pPr>
              <w:hyperlink w:anchor="_Toc478481370" w:history="1">
                <w:r w:rsidR="00220D02" w:rsidRPr="00220D02">
                  <w:rPr>
                    <w:rStyle w:val="Lienhypertexte"/>
                    <w:color w:val="auto"/>
                  </w:rPr>
                  <w:t>5.</w:t>
                </w:r>
                <w:r w:rsidR="00220D02" w:rsidRPr="00220D02">
                  <w:rPr>
                    <w:rFonts w:asciiTheme="minorHAnsi" w:eastAsiaTheme="minorEastAsia" w:hAnsiTheme="minorHAnsi" w:cstheme="minorBidi"/>
                    <w:color w:val="auto"/>
                    <w:sz w:val="22"/>
                    <w:szCs w:val="22"/>
                    <w:lang w:val="fr-BE" w:eastAsia="fr-BE" w:bidi="ar-SA"/>
                  </w:rPr>
                  <w:tab/>
                </w:r>
                <w:r w:rsidR="00220D02" w:rsidRPr="00220D02">
                  <w:rPr>
                    <w:rStyle w:val="Lienhypertexte"/>
                    <w:color w:val="auto"/>
                  </w:rPr>
                  <w:t>Aanbeveling</w:t>
                </w:r>
                <w:r w:rsidR="00220D02" w:rsidRPr="00220D02">
                  <w:rPr>
                    <w:webHidden/>
                    <w:color w:val="auto"/>
                  </w:rPr>
                  <w:tab/>
                </w:r>
                <w:r w:rsidR="00220D02" w:rsidRPr="00220D02">
                  <w:rPr>
                    <w:webHidden/>
                    <w:color w:val="auto"/>
                  </w:rPr>
                  <w:fldChar w:fldCharType="begin"/>
                </w:r>
                <w:r w:rsidR="00220D02" w:rsidRPr="00220D02">
                  <w:rPr>
                    <w:webHidden/>
                    <w:color w:val="auto"/>
                  </w:rPr>
                  <w:instrText xml:space="preserve"> PAGEREF _Toc478481370 \h </w:instrText>
                </w:r>
                <w:r w:rsidR="00220D02" w:rsidRPr="00220D02">
                  <w:rPr>
                    <w:webHidden/>
                    <w:color w:val="auto"/>
                  </w:rPr>
                </w:r>
                <w:r w:rsidR="00220D02" w:rsidRPr="00220D02">
                  <w:rPr>
                    <w:webHidden/>
                    <w:color w:val="auto"/>
                  </w:rPr>
                  <w:fldChar w:fldCharType="separate"/>
                </w:r>
                <w:r w:rsidR="00220D02" w:rsidRPr="00220D02">
                  <w:rPr>
                    <w:webHidden/>
                    <w:color w:val="auto"/>
                  </w:rPr>
                  <w:t>5</w:t>
                </w:r>
                <w:r w:rsidR="00220D02" w:rsidRPr="00220D02">
                  <w:rPr>
                    <w:webHidden/>
                    <w:color w:val="auto"/>
                  </w:rPr>
                  <w:fldChar w:fldCharType="end"/>
                </w:r>
              </w:hyperlink>
            </w:p>
            <w:p w14:paraId="678D0E41" w14:textId="77777777" w:rsidR="00220D02" w:rsidRPr="00220D02" w:rsidRDefault="002A7F88">
              <w:pPr>
                <w:pStyle w:val="TM1"/>
                <w:rPr>
                  <w:rFonts w:asciiTheme="minorHAnsi" w:eastAsiaTheme="minorEastAsia" w:hAnsiTheme="minorHAnsi" w:cstheme="minorBidi"/>
                  <w:color w:val="auto"/>
                  <w:sz w:val="22"/>
                  <w:szCs w:val="22"/>
                  <w:lang w:val="fr-BE" w:eastAsia="fr-BE" w:bidi="ar-SA"/>
                </w:rPr>
              </w:pPr>
              <w:hyperlink w:anchor="_Toc478481371" w:history="1">
                <w:r w:rsidR="00220D02" w:rsidRPr="00220D02">
                  <w:rPr>
                    <w:rStyle w:val="Lienhypertexte"/>
                    <w:color w:val="auto"/>
                  </w:rPr>
                  <w:t>6.</w:t>
                </w:r>
                <w:r w:rsidR="00220D02" w:rsidRPr="00220D02">
                  <w:rPr>
                    <w:rFonts w:asciiTheme="minorHAnsi" w:eastAsiaTheme="minorEastAsia" w:hAnsiTheme="minorHAnsi" w:cstheme="minorBidi"/>
                    <w:color w:val="auto"/>
                    <w:sz w:val="22"/>
                    <w:szCs w:val="22"/>
                    <w:lang w:val="fr-BE" w:eastAsia="fr-BE" w:bidi="ar-SA"/>
                  </w:rPr>
                  <w:tab/>
                </w:r>
                <w:r w:rsidR="00220D02" w:rsidRPr="00220D02">
                  <w:rPr>
                    <w:rStyle w:val="Lienhypertexte"/>
                    <w:color w:val="auto"/>
                  </w:rPr>
                  <w:t>Contact Unia</w:t>
                </w:r>
                <w:r w:rsidR="00220D02" w:rsidRPr="00220D02">
                  <w:rPr>
                    <w:webHidden/>
                    <w:color w:val="auto"/>
                  </w:rPr>
                  <w:tab/>
                </w:r>
                <w:r w:rsidR="00220D02" w:rsidRPr="00220D02">
                  <w:rPr>
                    <w:webHidden/>
                    <w:color w:val="auto"/>
                  </w:rPr>
                  <w:fldChar w:fldCharType="begin"/>
                </w:r>
                <w:r w:rsidR="00220D02" w:rsidRPr="00220D02">
                  <w:rPr>
                    <w:webHidden/>
                    <w:color w:val="auto"/>
                  </w:rPr>
                  <w:instrText xml:space="preserve"> PAGEREF _Toc478481371 \h </w:instrText>
                </w:r>
                <w:r w:rsidR="00220D02" w:rsidRPr="00220D02">
                  <w:rPr>
                    <w:webHidden/>
                    <w:color w:val="auto"/>
                  </w:rPr>
                </w:r>
                <w:r w:rsidR="00220D02" w:rsidRPr="00220D02">
                  <w:rPr>
                    <w:webHidden/>
                    <w:color w:val="auto"/>
                  </w:rPr>
                  <w:fldChar w:fldCharType="separate"/>
                </w:r>
                <w:r w:rsidR="00220D02" w:rsidRPr="00220D02">
                  <w:rPr>
                    <w:webHidden/>
                    <w:color w:val="auto"/>
                  </w:rPr>
                  <w:t>5</w:t>
                </w:r>
                <w:r w:rsidR="00220D02" w:rsidRPr="00220D02">
                  <w:rPr>
                    <w:webHidden/>
                    <w:color w:val="auto"/>
                  </w:rPr>
                  <w:fldChar w:fldCharType="end"/>
                </w:r>
              </w:hyperlink>
            </w:p>
            <w:p w14:paraId="2EBF4DA0" w14:textId="0A3A0493" w:rsidR="009909CD" w:rsidRPr="00A37D8B" w:rsidRDefault="004D3C58" w:rsidP="00A37D8B">
              <w:pPr>
                <w:rPr>
                  <w:lang w:val="fr-FR" w:eastAsia="fr-FR" w:bidi="ar-SA"/>
                </w:rPr>
              </w:pPr>
              <w:r w:rsidRPr="00220D02">
                <w:rPr>
                  <w:b/>
                  <w:bCs/>
                  <w:lang w:val="fr-FR" w:eastAsia="fr-FR" w:bidi="ar-SA"/>
                </w:rPr>
                <w:fldChar w:fldCharType="end"/>
              </w:r>
            </w:p>
          </w:sdtContent>
        </w:sdt>
      </w:sdtContent>
    </w:sdt>
    <w:p w14:paraId="0F74183A" w14:textId="77777777" w:rsidR="00064035" w:rsidRPr="00810C52" w:rsidRDefault="00A351A7" w:rsidP="00810C52">
      <w:pPr>
        <w:pStyle w:val="Titre1"/>
      </w:pPr>
      <w:bookmarkStart w:id="1" w:name="_Toc478481366"/>
      <w:r>
        <w:t>Overzicht van de voor het BHG relevante antidiscriminatiewetgeving</w:t>
      </w:r>
      <w:r>
        <w:rPr>
          <w:rStyle w:val="Appelnotedebasdep"/>
        </w:rPr>
        <w:footnoteReference w:id="2"/>
      </w:r>
      <w:bookmarkEnd w:id="1"/>
      <w:r>
        <w:t xml:space="preserve">  </w:t>
      </w:r>
    </w:p>
    <w:p w14:paraId="73D226A9" w14:textId="77777777" w:rsidR="0073196D" w:rsidRDefault="0073196D" w:rsidP="0073196D"/>
    <w:p w14:paraId="60220712" w14:textId="3AF07F5A" w:rsidR="00A351A7" w:rsidRDefault="00A351A7" w:rsidP="003F3596">
      <w:r>
        <w:t xml:space="preserve">Het Europees recht telt verschillende antidiscriminatierichtlijnen waarvan de belangrijkste betrekking hebben op de gelijke behandeling van personen ongeacht ras of etnische afstamming (2000/43/EG), de instelling van een algemeen kader voor gelijke behandeling in arbeid en </w:t>
      </w:r>
      <w:r w:rsidR="00090894">
        <w:t>beroep</w:t>
      </w:r>
      <w:r>
        <w:t xml:space="preserve"> (2000/78/EG), de gelijke behandeling van vrouwen en mannen ten aanzien van de toegang tot het arbeidsproces, de beroepsopleiding en de promotiekansen</w:t>
      </w:r>
      <w:r w:rsidR="00090894">
        <w:t>,</w:t>
      </w:r>
      <w:r>
        <w:t xml:space="preserve"> </w:t>
      </w:r>
      <w:r w:rsidR="00090894">
        <w:t>alsmede</w:t>
      </w:r>
      <w:r>
        <w:t xml:space="preserve"> ten aanzien van de arbeidsvoorwaarden (2002/73/EG en 2006/54/EG), </w:t>
      </w:r>
      <w:r w:rsidR="00090894">
        <w:t xml:space="preserve">en nog </w:t>
      </w:r>
      <w:r>
        <w:t>de gelijke behandeling van vrouwen en mannen bij de toegang tot en de levering van goederen en diensten (2004/113/EG).</w:t>
      </w:r>
    </w:p>
    <w:p w14:paraId="14762A1D" w14:textId="77777777" w:rsidR="00A351A7" w:rsidRDefault="00A351A7" w:rsidP="0073196D"/>
    <w:p w14:paraId="143A5595" w14:textId="41AB1D91" w:rsidR="00A351A7" w:rsidRPr="00710037" w:rsidRDefault="00404E27" w:rsidP="0073196D">
      <w:pPr>
        <w:rPr>
          <w:i/>
        </w:rPr>
      </w:pPr>
      <w:r>
        <w:lastRenderedPageBreak/>
        <w:t>In België is elke deelstaat binnen zijn bevoegdheidsdomein verantwoordelijk voor de omzetting van die richtlijnen</w:t>
      </w:r>
      <w:r w:rsidR="00090894">
        <w:t xml:space="preserve">. Indien </w:t>
      </w:r>
      <w:r>
        <w:t xml:space="preserve">een deelstaat </w:t>
      </w:r>
      <w:r w:rsidR="00090894">
        <w:t>het</w:t>
      </w:r>
      <w:r>
        <w:t xml:space="preserve"> wenst, kan die nog bijkomende instrumenten ter bestrijding van discriminatie invoeren.</w:t>
      </w:r>
    </w:p>
    <w:p w14:paraId="1CF1EDB4" w14:textId="77777777" w:rsidR="00A351A7" w:rsidRDefault="00A351A7" w:rsidP="0073196D"/>
    <w:p w14:paraId="0838CB31" w14:textId="6D67B4B8" w:rsidR="00A351A7" w:rsidRDefault="003F3596" w:rsidP="0073196D">
      <w:r>
        <w:t xml:space="preserve">Het Brussels Hoofdstedelijk Gewest heeft </w:t>
      </w:r>
      <w:r w:rsidR="00090894">
        <w:t xml:space="preserve">voor verschillende ordonnanties gekozen </w:t>
      </w:r>
      <w:r>
        <w:t>naargelang de materies. De belangrijkste daarvan zijn:</w:t>
      </w:r>
    </w:p>
    <w:p w14:paraId="05D7BE24" w14:textId="77777777" w:rsidR="003F3596" w:rsidRDefault="003F3596" w:rsidP="0073196D"/>
    <w:p w14:paraId="40A62C6A" w14:textId="77777777" w:rsidR="003F3596" w:rsidRDefault="002A7F88" w:rsidP="003F3596">
      <w:pPr>
        <w:pStyle w:val="Paragraphedeliste"/>
        <w:numPr>
          <w:ilvl w:val="0"/>
          <w:numId w:val="35"/>
        </w:numPr>
      </w:pPr>
      <w:hyperlink r:id="rId13" w:history="1">
        <w:r w:rsidR="00395A67">
          <w:rPr>
            <w:rStyle w:val="Lienhypertexte"/>
            <w:b/>
          </w:rPr>
          <w:t>4 SEPTEMBER 2008. - Ordonnantie betreffende de strijd tegen discriminatie en de gelijke behandeling op het vlak van de tewerkstelling.</w:t>
        </w:r>
      </w:hyperlink>
      <w:r w:rsidR="00395A67">
        <w:rPr>
          <w:b/>
        </w:rPr>
        <w:t xml:space="preserve"> </w:t>
      </w:r>
      <w:r w:rsidR="00395A67">
        <w:t xml:space="preserve">– van toepassing op "intermediaire organisaties wat hun activiteiten van arbeidsbemiddeling betreft en op de operatoren van socioprofessionele inschakeling wat hun activiteiten van socioprofessionele inschakeling betreft." </w:t>
      </w:r>
    </w:p>
    <w:p w14:paraId="4202C755" w14:textId="77777777" w:rsidR="002B2D71" w:rsidRPr="002B2D71" w:rsidRDefault="002B2D71" w:rsidP="002B2D71">
      <w:pPr>
        <w:pStyle w:val="Paragraphedeliste"/>
        <w:ind w:left="360"/>
      </w:pPr>
    </w:p>
    <w:p w14:paraId="7FA5E623" w14:textId="77777777" w:rsidR="003F3596" w:rsidRPr="00395A67" w:rsidRDefault="002A7F88" w:rsidP="008357C6">
      <w:pPr>
        <w:pStyle w:val="Paragraphedeliste"/>
        <w:numPr>
          <w:ilvl w:val="0"/>
          <w:numId w:val="35"/>
        </w:numPr>
      </w:pPr>
      <w:hyperlink r:id="rId14">
        <w:r w:rsidR="00A4521C">
          <w:rPr>
            <w:rStyle w:val="Lienhypertexte"/>
            <w:b/>
          </w:rPr>
          <w:t>4 SEPTEMBER 2008. - Ordonnantie ter bevordering van diversiteit en ter bestrijding van discriminatie in het Brussels gewestelijk openbaar ambt</w:t>
        </w:r>
      </w:hyperlink>
      <w:r w:rsidR="00A4521C">
        <w:rPr>
          <w:b/>
        </w:rPr>
        <w:t xml:space="preserve"> </w:t>
      </w:r>
      <w:r w:rsidR="00A4521C">
        <w:t>– van toepassing op "openbare instellingen van het Brussels Hoofdstedelijk Gewest." »</w:t>
      </w:r>
    </w:p>
    <w:p w14:paraId="1A7AB9E3" w14:textId="77777777" w:rsidR="003F3596" w:rsidRPr="00395A67" w:rsidRDefault="003F3596" w:rsidP="003F3596">
      <w:pPr>
        <w:rPr>
          <w:b/>
        </w:rPr>
      </w:pPr>
    </w:p>
    <w:p w14:paraId="713A05F7" w14:textId="3F1A40FD" w:rsidR="003F3596" w:rsidRPr="00F73116" w:rsidRDefault="002A7F88" w:rsidP="008357C6">
      <w:pPr>
        <w:pStyle w:val="Paragraphedeliste"/>
        <w:numPr>
          <w:ilvl w:val="0"/>
          <w:numId w:val="35"/>
        </w:numPr>
        <w:rPr>
          <w:bCs/>
        </w:rPr>
      </w:pPr>
      <w:hyperlink r:id="rId15" w:anchor="True">
        <w:r w:rsidR="00A4521C">
          <w:rPr>
            <w:rStyle w:val="Lienhypertexte"/>
            <w:b/>
          </w:rPr>
          <w:t>4 SEPTEMBER 2008. - Ordonnantie ertoe strekkende een diversiteitsbeleid te bewerkstelligen in het Brussels ambtenarenapparaat.</w:t>
        </w:r>
      </w:hyperlink>
      <w:r w:rsidR="00A4521C">
        <w:rPr>
          <w:b/>
        </w:rPr>
        <w:t xml:space="preserve"> </w:t>
      </w:r>
      <w:r w:rsidR="00A4521C">
        <w:t>– van toepassing op lokale overheden (gemeentes, intercommunales, gemeentelijke vzw's). Deze ordonnantie bevat dus</w:t>
      </w:r>
      <w:r w:rsidR="00BE2C37">
        <w:t xml:space="preserve"> geen </w:t>
      </w:r>
      <w:r w:rsidR="00A4521C">
        <w:t xml:space="preserve">luik "gelijke behandeling" of " strijd tegen discriminatie". </w:t>
      </w:r>
    </w:p>
    <w:p w14:paraId="5A03C007" w14:textId="77777777" w:rsidR="003F3596" w:rsidRPr="003F3596" w:rsidRDefault="003F3596" w:rsidP="003F3596">
      <w:pPr>
        <w:rPr>
          <w:b/>
        </w:rPr>
      </w:pPr>
    </w:p>
    <w:bookmarkStart w:id="2" w:name="LNK0068"/>
    <w:p w14:paraId="5CEAAA94" w14:textId="40685218" w:rsidR="003F3596" w:rsidRDefault="00BE2C37" w:rsidP="00395A67">
      <w:pPr>
        <w:pStyle w:val="Paragraphedeliste"/>
        <w:numPr>
          <w:ilvl w:val="0"/>
          <w:numId w:val="35"/>
        </w:numPr>
      </w:pPr>
      <w:r>
        <w:rPr>
          <w:b/>
        </w:rPr>
        <w:fldChar w:fldCharType="begin"/>
      </w:r>
      <w:r>
        <w:rPr>
          <w:b/>
        </w:rPr>
        <w:instrText xml:space="preserve"> HYPERLINK "http://www.ejustice.just.fgov.be/cgi_loi/loi_a1.pl?language=nl&amp;la=N&amp;cn=2003071790&amp;table_name=wet&amp;&amp;caller=list&amp;N&amp;fromtab=wet&amp;tri=dd+AS+RANK&amp;rech=1&amp;numero=1&amp;sql=(text+contains+(''))" \l "top" </w:instrText>
      </w:r>
      <w:r>
        <w:rPr>
          <w:b/>
        </w:rPr>
        <w:fldChar w:fldCharType="separate"/>
      </w:r>
      <w:r w:rsidR="00395A67" w:rsidRPr="00BE2C37">
        <w:rPr>
          <w:rStyle w:val="Lienhypertexte"/>
          <w:b/>
        </w:rPr>
        <w:t>17 JULI 2003. - Ordonnantie houdende de Brusselse Huisvestingscode (versie 2013 - tekst vervangen door erratum gepubliceerd in p. 47151-47212 van B.</w:t>
      </w:r>
      <w:r w:rsidR="00DA32EE" w:rsidRPr="00BE2C37">
        <w:rPr>
          <w:rStyle w:val="Lienhypertexte"/>
          <w:b/>
        </w:rPr>
        <w:t xml:space="preserve"> </w:t>
      </w:r>
      <w:r w:rsidR="00395A67" w:rsidRPr="00BE2C37">
        <w:rPr>
          <w:rStyle w:val="Lienhypertexte"/>
          <w:b/>
        </w:rPr>
        <w:t>St. van 26-07-2013)</w:t>
      </w:r>
      <w:r>
        <w:rPr>
          <w:b/>
        </w:rPr>
        <w:fldChar w:fldCharType="end"/>
      </w:r>
      <w:r w:rsidR="00395A67">
        <w:rPr>
          <w:b/>
        </w:rPr>
        <w:t xml:space="preserve"> </w:t>
      </w:r>
      <w:bookmarkEnd w:id="2"/>
      <w:r w:rsidR="00395A67" w:rsidRPr="00BE2C37">
        <w:t xml:space="preserve">TITEL X. - GELIJKE BEHANDELING. </w:t>
      </w:r>
      <w:r w:rsidR="00395A67">
        <w:t>Titel X is enkel van toepassing op de openbare huisvestingsoperatoren. Tot aan de inwerkingtreding van de zesde Staatshervorming was de markt van de particuliere huurwoningen een federale materie.</w:t>
      </w:r>
    </w:p>
    <w:p w14:paraId="319EC808" w14:textId="77777777" w:rsidR="00C45D46" w:rsidRDefault="00C45D46" w:rsidP="00F73116">
      <w:pPr>
        <w:ind w:left="360"/>
      </w:pPr>
    </w:p>
    <w:p w14:paraId="336CB3B3" w14:textId="6E9DF665" w:rsidR="00C45D46" w:rsidRPr="00C45D46" w:rsidRDefault="00C45D46" w:rsidP="00C45D46">
      <w:pPr>
        <w:pStyle w:val="Paragraphedeliste"/>
        <w:numPr>
          <w:ilvl w:val="0"/>
          <w:numId w:val="35"/>
        </w:numPr>
        <w:rPr>
          <w:bCs/>
        </w:rPr>
      </w:pPr>
      <w:r>
        <w:t xml:space="preserve">De federale wetgeving garandeert overigens de gelijke behandeling inzake toegang tot goederen en diensten en de levering ervan wanneer die onder het federale contractenrecht vallen (met inbegrip van horeca, bankdiensten, verzekeringen,…), </w:t>
      </w:r>
      <w:r w:rsidR="00BE2C37">
        <w:t xml:space="preserve">alsmede </w:t>
      </w:r>
      <w:r>
        <w:t>inzake arbeidsrelaties die onder het federale arbeidsrecht vallen.</w:t>
      </w:r>
    </w:p>
    <w:p w14:paraId="6C3696DE" w14:textId="77777777" w:rsidR="00A351A7" w:rsidRDefault="00F73116" w:rsidP="00F73116">
      <w:pPr>
        <w:pStyle w:val="Titre1"/>
      </w:pPr>
      <w:bookmarkStart w:id="3" w:name="_Toc478481367"/>
      <w:r>
        <w:t>Lacunes of interne conflicten binnen de gewestelijke regeling vóór de inwerkingtreding van de zesde Staatshervorming</w:t>
      </w:r>
      <w:bookmarkEnd w:id="3"/>
    </w:p>
    <w:p w14:paraId="0546AF60" w14:textId="77777777" w:rsidR="005A3FEA" w:rsidRDefault="005A3FEA" w:rsidP="005A3FEA"/>
    <w:p w14:paraId="03C29892" w14:textId="1072B221" w:rsidR="00C45D46" w:rsidRDefault="005A3FEA" w:rsidP="005A3FEA">
      <w:r>
        <w:t>Nog v</w:t>
      </w:r>
      <w:r w:rsidR="00BE2C37">
        <w:t>óó</w:t>
      </w:r>
      <w:r>
        <w:t xml:space="preserve">r de inwerkingtreding van de zesde Staatshervorming werden verschillende lacunes vastgesteld in </w:t>
      </w:r>
      <w:r w:rsidR="00BE2C37">
        <w:t>de</w:t>
      </w:r>
      <w:r>
        <w:t xml:space="preserve"> anti-discriminatie</w:t>
      </w:r>
      <w:r w:rsidR="00BE2C37">
        <w:t>wetgeving</w:t>
      </w:r>
      <w:r>
        <w:t xml:space="preserve"> van het Brussels Gewest, zowel wat de omzetting van de Europese richtlijnen</w:t>
      </w:r>
      <w:r w:rsidR="00BE2C37">
        <w:t xml:space="preserve"> betreft, </w:t>
      </w:r>
      <w:r>
        <w:t xml:space="preserve">als van </w:t>
      </w:r>
      <w:r w:rsidR="00BE2C37">
        <w:t>de</w:t>
      </w:r>
      <w:r>
        <w:t xml:space="preserve"> federale </w:t>
      </w:r>
      <w:r w:rsidR="00BE2C37">
        <w:t>wetgeving</w:t>
      </w:r>
      <w:r>
        <w:t>:</w:t>
      </w:r>
    </w:p>
    <w:p w14:paraId="5B63D056" w14:textId="77777777" w:rsidR="00C45D46" w:rsidRDefault="00C45D46" w:rsidP="005A3FEA"/>
    <w:p w14:paraId="1F3C4F08" w14:textId="3C30864D" w:rsidR="000258B2" w:rsidRDefault="00C45D46" w:rsidP="00C45D46">
      <w:pPr>
        <w:pStyle w:val="Paragraphedeliste"/>
        <w:numPr>
          <w:ilvl w:val="0"/>
          <w:numId w:val="35"/>
        </w:numPr>
      </w:pPr>
      <w:r>
        <w:rPr>
          <w:b/>
        </w:rPr>
        <w:t>"De ordonnantie ertoe strekkende een diversiteitsbeleid te bewerkstelligen in het Brussels ambtenarenapparaat",</w:t>
      </w:r>
      <w:r>
        <w:t xml:space="preserve"> die van toepassing is op de lokale overheden, bevat, zoals de naam al aangeeft, een luik bevordering van de diversiteit. Een luik inzake gelijke behandeling die discriminatie formeel zou verbieden, is er evenwel niet in opgenomen. Een gevolg daarvan is bijvoorbeeld dat </w:t>
      </w:r>
      <w:r>
        <w:rPr>
          <w:b/>
        </w:rPr>
        <w:t xml:space="preserve">de statutaire ambtenaren bij de lokale </w:t>
      </w:r>
      <w:r>
        <w:rPr>
          <w:b/>
        </w:rPr>
        <w:lastRenderedPageBreak/>
        <w:t xml:space="preserve">overheden op vandaag door geen enkele antidiscriminatiewetgeving worden beschermd, in tegenstelling tot de contractuele ambtenaren die via de wet van 3 maart 1978 betreffende arbeidsovereenkomsten door de federale </w:t>
      </w:r>
      <w:r w:rsidR="00BE2C37">
        <w:rPr>
          <w:b/>
        </w:rPr>
        <w:t>antidiscriminatiewetten</w:t>
      </w:r>
      <w:r>
        <w:rPr>
          <w:b/>
        </w:rPr>
        <w:t xml:space="preserve"> worden beschermd.</w:t>
      </w:r>
      <w:r>
        <w:t xml:space="preserve"> Het gaat hier duidelijk om een niet-omzetting van de Europese richtlijnen.</w:t>
      </w:r>
    </w:p>
    <w:p w14:paraId="67B0ACF0" w14:textId="77777777" w:rsidR="000258B2" w:rsidRDefault="000258B2" w:rsidP="000258B2">
      <w:pPr>
        <w:pStyle w:val="Paragraphedeliste"/>
        <w:ind w:left="360"/>
      </w:pPr>
    </w:p>
    <w:p w14:paraId="7FE75484" w14:textId="00280EB6" w:rsidR="000B0605" w:rsidRDefault="00801586" w:rsidP="006715BE">
      <w:pPr>
        <w:pStyle w:val="Paragraphedeliste"/>
        <w:numPr>
          <w:ilvl w:val="0"/>
          <w:numId w:val="35"/>
        </w:numPr>
      </w:pPr>
      <w:r>
        <w:rPr>
          <w:b/>
        </w:rPr>
        <w:t xml:space="preserve">De toegang tot goederen en diensten, waarvoor het BHG bevoegd is, </w:t>
      </w:r>
      <w:r>
        <w:t xml:space="preserve">wordt momenteel door geen enkele antidiscriminatiewetgeving gedekt en ook hier gaat het dus om een niet-omzetting van Europese richtlijnen. Deze bevoegdheid betreft alle diensten verstrekt door gewestelijke of lokale openbare instellingen (voor zover die instellingen onder gewestelijke voogdij vallen), zoals </w:t>
      </w:r>
      <w:r w:rsidR="000954BC">
        <w:t xml:space="preserve">bijvoorbeeld </w:t>
      </w:r>
      <w:r>
        <w:t xml:space="preserve">de regionale vervoersmaatschappij (MIVB). Deze niet-omzetting heeft dus belangrijke gevolgen voor bijvoorbeeld personen met een beperkte mobiliteit, ook al heeft België zich er samen </w:t>
      </w:r>
      <w:r w:rsidR="000954BC">
        <w:t>met de deelstaten toe verbonden om</w:t>
      </w:r>
      <w:r>
        <w:t xml:space="preserve"> </w:t>
      </w:r>
      <w:r>
        <w:rPr>
          <w:i/>
        </w:rPr>
        <w:t>het Verdrag van de Verenigde Naties inzake de rechten van personen met een handicap</w:t>
      </w:r>
      <w:r>
        <w:t xml:space="preserve"> toe te passen.</w:t>
      </w:r>
    </w:p>
    <w:p w14:paraId="68A24A48" w14:textId="77777777" w:rsidR="000B0605" w:rsidRDefault="000B0605" w:rsidP="000B0605">
      <w:pPr>
        <w:pStyle w:val="Paragraphedeliste"/>
        <w:ind w:left="360"/>
      </w:pPr>
    </w:p>
    <w:p w14:paraId="35088F96" w14:textId="77777777" w:rsidR="005A3FEA" w:rsidRPr="005F7B38" w:rsidRDefault="00C92D00" w:rsidP="000B0605">
      <w:pPr>
        <w:pStyle w:val="Paragraphedeliste"/>
        <w:ind w:left="360"/>
      </w:pPr>
      <w:r>
        <w:t>In 2015 werd Unia door het kabinet van de staatssecretaris voor Gelijke Kansen gevraagd een advies uit te brengen over een voorontwerp van ordonnantie om deze niet-omzetting recht te zetten. Hoever het intussen staat met dit ontwerp van ordonnantie weten we niet.</w:t>
      </w:r>
    </w:p>
    <w:p w14:paraId="247948C2" w14:textId="77777777" w:rsidR="006715BE" w:rsidRDefault="006715BE" w:rsidP="006715BE"/>
    <w:p w14:paraId="5BE8F718" w14:textId="2193F957" w:rsidR="00FD00B1" w:rsidRDefault="00C92D00" w:rsidP="00FD00B1">
      <w:pPr>
        <w:pStyle w:val="Paragraphedeliste"/>
        <w:numPr>
          <w:ilvl w:val="0"/>
          <w:numId w:val="35"/>
        </w:numPr>
      </w:pPr>
      <w:r>
        <w:rPr>
          <w:b/>
        </w:rPr>
        <w:t xml:space="preserve">Tussen de verschillende ordonnanties en t.o.v. de federale wetgeving of de Europese richtlijnen </w:t>
      </w:r>
      <w:r w:rsidR="000954BC">
        <w:rPr>
          <w:b/>
        </w:rPr>
        <w:t>bestaan er</w:t>
      </w:r>
      <w:r>
        <w:rPr>
          <w:b/>
        </w:rPr>
        <w:t xml:space="preserve"> discrepanties. </w:t>
      </w:r>
      <w:r>
        <w:t>Voorbeelden daarvan zijn:</w:t>
      </w:r>
      <w:r>
        <w:rPr>
          <w:b/>
        </w:rPr>
        <w:t xml:space="preserve"> </w:t>
      </w:r>
      <w:r>
        <w:t xml:space="preserve">bepaalde ordonnanties vergeten de zogenaamde vrijwaringsclausule (volgens dewelke er geen sprake is van discriminatie wanneer het een wettelijke reglementering </w:t>
      </w:r>
      <w:r w:rsidR="000954BC">
        <w:t xml:space="preserve">is </w:t>
      </w:r>
      <w:r>
        <w:t xml:space="preserve">die voorziet in </w:t>
      </w:r>
      <w:r w:rsidR="000954BC">
        <w:t>het</w:t>
      </w:r>
      <w:r>
        <w:t xml:space="preserve"> verschil</w:t>
      </w:r>
      <w:r w:rsidR="000954BC">
        <w:t xml:space="preserve"> in</w:t>
      </w:r>
      <w:r>
        <w:t xml:space="preserve"> behandeling</w:t>
      </w:r>
      <w:r w:rsidRPr="000954BC">
        <w:t>), of soms zijn de beschermde criteria niet exact dezelfde.</w:t>
      </w:r>
      <w:r>
        <w:t xml:space="preserve"> Zo heeft de federale wetgeving de syndicale overtuiging toegevoegd t.o.v. de Europese richtlijnen maar niet alle Brusselse ordonnanties hebben die overgenomen.</w:t>
      </w:r>
      <w:r>
        <w:rPr>
          <w:rStyle w:val="Appelnotedebasdep"/>
        </w:rPr>
        <w:footnoteReference w:id="3"/>
      </w:r>
      <w:r>
        <w:t xml:space="preserve"> Meer algemeen pleit Unia voor een harmonisering van de discriminatiecriteria tussen de verschillende wetgevingen op de verschillende bevoegdheidsniveaus.</w:t>
      </w:r>
    </w:p>
    <w:p w14:paraId="135C2B8A" w14:textId="77777777" w:rsidR="00256509" w:rsidRDefault="00256509" w:rsidP="00256509">
      <w:pPr>
        <w:pStyle w:val="Paragraphedeliste"/>
        <w:ind w:left="360"/>
      </w:pPr>
    </w:p>
    <w:p w14:paraId="226261EC" w14:textId="627AC852" w:rsidR="000F340A" w:rsidRDefault="00A210FD" w:rsidP="00DA32EE">
      <w:pPr>
        <w:pStyle w:val="Paragraphedeliste"/>
        <w:ind w:left="0"/>
      </w:pPr>
      <w:r>
        <w:t xml:space="preserve">Opvallend is dat het probleem van die lacunes en discrepanties reeds aan bod </w:t>
      </w:r>
      <w:r w:rsidR="000954BC">
        <w:t>was</w:t>
      </w:r>
      <w:r>
        <w:t xml:space="preserve"> gekomen tijdens de parlementaire debatten in de aanloop naar de goedkeuring in 2008 van voormelde ordonnanties. Sommige parlementsleden h</w:t>
      </w:r>
      <w:r w:rsidR="000954BC">
        <w:t>adden</w:t>
      </w:r>
      <w:r>
        <w:t xml:space="preserve"> overigens </w:t>
      </w:r>
      <w:r w:rsidR="000954BC">
        <w:t xml:space="preserve">toen </w:t>
      </w:r>
      <w:r>
        <w:t xml:space="preserve">betreurd dat er geen algemene en gecoördineerde ordonnantie </w:t>
      </w:r>
      <w:r w:rsidR="000954BC">
        <w:t>werd</w:t>
      </w:r>
      <w:r>
        <w:t xml:space="preserve"> voorgesteld.</w:t>
      </w:r>
      <w:r>
        <w:rPr>
          <w:rStyle w:val="Appelnotedebasdep"/>
        </w:rPr>
        <w:footnoteReference w:id="4"/>
      </w:r>
    </w:p>
    <w:p w14:paraId="3353527B" w14:textId="77777777" w:rsidR="009D2FF1" w:rsidRDefault="009D2FF1" w:rsidP="009D2FF1">
      <w:pPr>
        <w:pStyle w:val="Titre1"/>
      </w:pPr>
      <w:bookmarkStart w:id="4" w:name="_Toc478481368"/>
      <w:r>
        <w:lastRenderedPageBreak/>
        <w:t>Lacunes of interne conflicten binnen de gewestelijke regeling na de inwerkingtreding van de zesde Staatshervorming</w:t>
      </w:r>
      <w:bookmarkEnd w:id="4"/>
    </w:p>
    <w:p w14:paraId="1E9017EB" w14:textId="77777777" w:rsidR="005A3FEA" w:rsidRDefault="005A3FEA" w:rsidP="005A3FEA"/>
    <w:p w14:paraId="18F2670B" w14:textId="39F2E279" w:rsidR="005A3FEA" w:rsidRDefault="000B0605" w:rsidP="000B0605">
      <w:pPr>
        <w:pStyle w:val="Paragraphedeliste"/>
        <w:numPr>
          <w:ilvl w:val="0"/>
          <w:numId w:val="35"/>
        </w:numPr>
      </w:pPr>
      <w:r>
        <w:rPr>
          <w:b/>
        </w:rPr>
        <w:t xml:space="preserve">Terwijl tot aan de inwerkingtreding van deze hervorming de federale wetgeving van toepassing was op private huurovereenkomsten, ressorteren die nu onder het </w:t>
      </w:r>
      <w:r w:rsidR="000954BC">
        <w:rPr>
          <w:b/>
        </w:rPr>
        <w:t>gewestelijke</w:t>
      </w:r>
      <w:r>
        <w:rPr>
          <w:b/>
        </w:rPr>
        <w:t xml:space="preserve"> recht</w:t>
      </w:r>
      <w:r>
        <w:t>. Dit betekent o.m. dat er voor huurders of kandidaat-huurders van private woningen te Brussel een juridische leemte bestaat op vlak van bescherming tegen discriminatie.</w:t>
      </w:r>
    </w:p>
    <w:p w14:paraId="2667CE37" w14:textId="77777777" w:rsidR="00157A59" w:rsidRDefault="00157A59" w:rsidP="00157A59"/>
    <w:p w14:paraId="775ED6D0" w14:textId="624EA2B7" w:rsidR="00157A59" w:rsidRPr="00660065" w:rsidRDefault="00157A59" w:rsidP="00157A59">
      <w:pPr>
        <w:ind w:left="360"/>
        <w:rPr>
          <w:lang w:val="nl-NL"/>
        </w:rPr>
      </w:pPr>
      <w:r>
        <w:t>Na een aanbeveling van Unia</w:t>
      </w:r>
      <w:r>
        <w:rPr>
          <w:rStyle w:val="Appelnotedebasdep"/>
        </w:rPr>
        <w:footnoteReference w:id="5"/>
      </w:r>
      <w:r>
        <w:t xml:space="preserve"> </w:t>
      </w:r>
      <w:r w:rsidR="000954BC">
        <w:t xml:space="preserve">heeft de </w:t>
      </w:r>
      <w:r>
        <w:t xml:space="preserve">minister voor Huisvesting de Brusselse Gewestregering nu </w:t>
      </w:r>
      <w:r w:rsidR="00592693">
        <w:t xml:space="preserve">voorgesteld om </w:t>
      </w:r>
      <w:r>
        <w:t>het toepassingsgebied van titel X van de Huisvestingscode uit te breiden naar de private woninghuurovereenkomsten</w:t>
      </w:r>
      <w:r w:rsidR="00592693" w:rsidRPr="00841515">
        <w:rPr>
          <w:rStyle w:val="Appelnotedebasdep"/>
        </w:rPr>
        <w:footnoteReference w:id="6"/>
      </w:r>
      <w:r w:rsidRPr="00841515">
        <w:t>. In dat geval zal men erop moeten toezien dat de private huurovereenkomst wordt uitgesloten van het toepassingsgebied van de toekomstige antidiscriminatieordonnant</w:t>
      </w:r>
      <w:r w:rsidR="00841515" w:rsidRPr="00841515">
        <w:t>ie inzake goederen en diensten.</w:t>
      </w:r>
    </w:p>
    <w:p w14:paraId="0C63EAAB" w14:textId="77777777" w:rsidR="009D2FF1" w:rsidRPr="00660065" w:rsidRDefault="009D2FF1" w:rsidP="00157A59">
      <w:pPr>
        <w:ind w:left="360"/>
        <w:rPr>
          <w:lang w:val="nl-NL"/>
        </w:rPr>
      </w:pPr>
    </w:p>
    <w:p w14:paraId="2C1C2FD8" w14:textId="10F1E869" w:rsidR="009D2FF1" w:rsidRDefault="00E83CB6" w:rsidP="00281622">
      <w:r>
        <w:t xml:space="preserve">Zo riskeert telkens </w:t>
      </w:r>
      <w:r w:rsidR="00466C5C">
        <w:t xml:space="preserve">een maatregel die een lacune in </w:t>
      </w:r>
      <w:r w:rsidR="00841515">
        <w:t>de</w:t>
      </w:r>
      <w:r w:rsidR="00466C5C">
        <w:t xml:space="preserve"> anti-discriminatie</w:t>
      </w:r>
      <w:r w:rsidR="00841515">
        <w:t>wetgeving</w:t>
      </w:r>
      <w:r w:rsidR="00466C5C">
        <w:t xml:space="preserve"> van het Brussels Gewest moet wegwerken - of </w:t>
      </w:r>
      <w:r w:rsidR="00841515">
        <w:t xml:space="preserve">het </w:t>
      </w:r>
      <w:r w:rsidR="00466C5C">
        <w:t>gewoon verbeteren -, in</w:t>
      </w:r>
      <w:r>
        <w:t xml:space="preserve"> te </w:t>
      </w:r>
      <w:r w:rsidR="00466C5C">
        <w:t xml:space="preserve">gaan tegen andere bepalingen van </w:t>
      </w:r>
      <w:r w:rsidR="00841515">
        <w:t>diezelfde wetgeving</w:t>
      </w:r>
      <w:r w:rsidR="00023C7C">
        <w:t>,</w:t>
      </w:r>
      <w:r w:rsidR="00466C5C">
        <w:t xml:space="preserve"> en op zijn beurt voor nieuwe rechtsonzekerheid </w:t>
      </w:r>
      <w:r>
        <w:t>te</w:t>
      </w:r>
      <w:r w:rsidR="00466C5C">
        <w:t xml:space="preserve"> zorgen. Dit is een rechtstreeks gevolg van de manier waarop </w:t>
      </w:r>
      <w:r w:rsidR="00841515">
        <w:t>deze wetgeving</w:t>
      </w:r>
      <w:r w:rsidR="00466C5C">
        <w:t xml:space="preserve"> tot stand is gekomen, door opeenstapeling van </w:t>
      </w:r>
      <w:r>
        <w:t>“gedeeltelijke”</w:t>
      </w:r>
      <w:r w:rsidR="00466C5C">
        <w:t xml:space="preserve"> maatregelen.</w:t>
      </w:r>
    </w:p>
    <w:p w14:paraId="506449BC" w14:textId="77777777" w:rsidR="000B0605" w:rsidRDefault="00C526F4" w:rsidP="009B334F">
      <w:pPr>
        <w:pStyle w:val="Titre1"/>
      </w:pPr>
      <w:bookmarkStart w:id="5" w:name="_Toc478481369"/>
      <w:r>
        <w:t>Gevolgen voor de Brusselse burgers</w:t>
      </w:r>
      <w:bookmarkEnd w:id="5"/>
    </w:p>
    <w:p w14:paraId="326D8A17" w14:textId="77777777" w:rsidR="00C526F4" w:rsidRDefault="00C526F4" w:rsidP="00C526F4"/>
    <w:p w14:paraId="2F575133" w14:textId="7BCEB83F" w:rsidR="00C526F4" w:rsidRDefault="001052FA" w:rsidP="00C526F4">
      <w:r>
        <w:t xml:space="preserve">Het ontbreken van bescherming tegen discriminaties, </w:t>
      </w:r>
      <w:r w:rsidR="00841515">
        <w:t>o.a.</w:t>
      </w:r>
      <w:r>
        <w:t xml:space="preserve"> op vlak van huisvesting, transport en goederen en diensten, impliceert dat de Brusselse burger zijn rechten niet kan afdwingen voor </w:t>
      </w:r>
      <w:r w:rsidR="00841515">
        <w:t>een</w:t>
      </w:r>
      <w:r>
        <w:t xml:space="preserve"> bevoegde rechtbank. </w:t>
      </w:r>
    </w:p>
    <w:p w14:paraId="43D2D7E3" w14:textId="77777777" w:rsidR="001052FA" w:rsidRDefault="001052FA" w:rsidP="00C526F4"/>
    <w:p w14:paraId="0AB0E873" w14:textId="1562CA71" w:rsidR="001052FA" w:rsidRPr="00906304" w:rsidRDefault="00C23C15" w:rsidP="00C526F4">
      <w:r>
        <w:t xml:space="preserve">Om dit te illustreren wijzen we erop dat Unia sinds januari 2016, 26 meldingen binnenkreeg van discriminaties inzake huisvesting </w:t>
      </w:r>
      <w:r w:rsidR="00BC0198">
        <w:t xml:space="preserve">waarvoor </w:t>
      </w:r>
      <w:r>
        <w:t>het Brussels Gewest</w:t>
      </w:r>
      <w:r w:rsidR="00BC0198">
        <w:t xml:space="preserve"> bevoegd is</w:t>
      </w:r>
      <w:r>
        <w:t xml:space="preserve">. Voor vroegere dossiers, die nog steeds hangende zijn, vormt </w:t>
      </w:r>
      <w:r w:rsidR="00841515">
        <w:t xml:space="preserve">voortaan </w:t>
      </w:r>
      <w:r>
        <w:t xml:space="preserve">het juridische referentiekader dat moet worden toegepast </w:t>
      </w:r>
      <w:r w:rsidR="00841515">
        <w:t xml:space="preserve">ook </w:t>
      </w:r>
      <w:r>
        <w:t xml:space="preserve">een probleem. </w:t>
      </w:r>
    </w:p>
    <w:p w14:paraId="3FD2341B" w14:textId="77777777" w:rsidR="001052FA" w:rsidRDefault="001052FA" w:rsidP="00C526F4"/>
    <w:p w14:paraId="7E25CFB7" w14:textId="09FD0ECC" w:rsidR="001052FA" w:rsidRDefault="001052FA" w:rsidP="00C526F4">
      <w:r>
        <w:t>Bij deze meldingen gaat het om weigeringen van verh</w:t>
      </w:r>
      <w:r w:rsidR="00BC0198">
        <w:t>uur gekoppeld aan discriminatie</w:t>
      </w:r>
      <w:r>
        <w:t xml:space="preserve">criteria zoals vermogen (weigering om te verhuren aan uitkeringsgerechtigden), etnische afstamming of huidskleur (weigering van verhuur aan kandidaten van Afrikaanse, Turkse of Marokkaanse afkomst), handicap (weigering van redelijke aanpassingen in een huurwoning), maar ook situaties van pesterijen in het kader van de relaties tussen een huurder en de eigenaar, o.a. op grond van de seksuele geaardheid van de huurder of </w:t>
      </w:r>
      <w:r w:rsidR="00BC0198">
        <w:t xml:space="preserve">van </w:t>
      </w:r>
      <w:r>
        <w:t>zijn etnische afstamming.</w:t>
      </w:r>
    </w:p>
    <w:p w14:paraId="0B9E8C81" w14:textId="77777777" w:rsidR="000F2C3B" w:rsidRDefault="000F2C3B" w:rsidP="00C526F4"/>
    <w:p w14:paraId="5C80EF6D" w14:textId="197842E8" w:rsidR="00B933D6" w:rsidRPr="000F340A" w:rsidRDefault="000F2C3B" w:rsidP="00B933D6">
      <w:r>
        <w:t xml:space="preserve">Andere meldingen hebben te maken met de </w:t>
      </w:r>
      <w:r w:rsidR="00841515">
        <w:t>wederkerige</w:t>
      </w:r>
      <w:r>
        <w:t xml:space="preserve"> gevallen waarbij personen met een beperkte mobiliteit geen toegang </w:t>
      </w:r>
      <w:r w:rsidR="00841515">
        <w:t xml:space="preserve">kunnen </w:t>
      </w:r>
      <w:r>
        <w:t xml:space="preserve">hebben tot het openbaar vervoer. Zo kreeg Unia een melding binnen van een rolstoelgebruikster die op geen enkele bevredigende manier gebruik kan maken van het openbaar vervoer. Deze situatie is in strijd met </w:t>
      </w:r>
      <w:r>
        <w:rPr>
          <w:i/>
        </w:rPr>
        <w:t>het Verdrag van de Verenigde Naties inzake de rechten van personen met een handicap</w:t>
      </w:r>
      <w:r>
        <w:t>, terwijl ook het Brussels Hoofdstedelijk Gewest dit Verdrag heeft bekrachtigd en het dus door het Brussels interne recht zou moeten worden beschermd.</w:t>
      </w:r>
    </w:p>
    <w:p w14:paraId="596E1C23" w14:textId="77777777" w:rsidR="000F2C3B" w:rsidRPr="005A3C36" w:rsidRDefault="000F2C3B" w:rsidP="00C526F4">
      <w:pPr>
        <w:rPr>
          <w:color w:val="FF0000"/>
        </w:rPr>
      </w:pPr>
    </w:p>
    <w:p w14:paraId="703A47FF" w14:textId="6544CA12" w:rsidR="000F2C3B" w:rsidRDefault="00C23C15" w:rsidP="000F2C3B">
      <w:r>
        <w:t xml:space="preserve">Door het ontbreken van juridische teksten die op dat soort situaties van toepassing zijn, is het voor </w:t>
      </w:r>
      <w:r w:rsidR="00A37D8B">
        <w:t>de</w:t>
      </w:r>
      <w:r>
        <w:t xml:space="preserve"> slachtoffer</w:t>
      </w:r>
      <w:r w:rsidR="00A37D8B">
        <w:t>s</w:t>
      </w:r>
      <w:r>
        <w:t xml:space="preserve"> en voor Unia onmogelijk een ontvankelijk beroep in te stellen bij een rechtbank, terwijl er nochtans voldoende bewijselementen beschikbaar zijn. Dit is bijvoorbeeld het geval in een dossier dat Unia heeft geopend en waarbij een koppel van Afrikaanse afkomst zich via een </w:t>
      </w:r>
      <w:r w:rsidR="00BC0198">
        <w:t>vastgoedkantoor</w:t>
      </w:r>
      <w:r>
        <w:t xml:space="preserve"> kandidaat had gesteld om een woning te huren. Het </w:t>
      </w:r>
      <w:r w:rsidR="00BC0198">
        <w:t>vastgoedkantoor</w:t>
      </w:r>
      <w:r>
        <w:t xml:space="preserve"> had toen bij Unia een formele getuigenis afgelegd dat de weigering van de eigenaars was gebaseerd op het feit "dat ze achterdochtig waren tegenover mensen met een andere huidskleur".</w:t>
      </w:r>
    </w:p>
    <w:p w14:paraId="06E90750" w14:textId="77777777" w:rsidR="00064035" w:rsidRDefault="00810C52" w:rsidP="00810C52">
      <w:pPr>
        <w:pStyle w:val="Titre1"/>
      </w:pPr>
      <w:bookmarkStart w:id="6" w:name="_Toc478481370"/>
      <w:r>
        <w:t>Aanbeveling</w:t>
      </w:r>
      <w:bookmarkEnd w:id="6"/>
    </w:p>
    <w:p w14:paraId="34CA3D56" w14:textId="77777777" w:rsidR="00D86CE6" w:rsidRDefault="00D86CE6" w:rsidP="00D86CE6"/>
    <w:p w14:paraId="4D9FEBB3" w14:textId="268C8F34" w:rsidR="00656993" w:rsidRDefault="00C526F4" w:rsidP="00656993">
      <w:pPr>
        <w:rPr>
          <w:b/>
        </w:rPr>
      </w:pPr>
      <w:r>
        <w:t xml:space="preserve">Eerder dan voor een vlucht naar voren te kiezen, waarbij elke nieuwe maatregel om een lacune van het anti-discriminatiekader van het Brussels Gewest weg te werken strijdig dreigt te worden met een bestaande maatregel, zonder dat al die lacunes daarmee voor eens en voor altijd kunnen worden weggewerkt, </w:t>
      </w:r>
      <w:r>
        <w:rPr>
          <w:b/>
        </w:rPr>
        <w:t>beveelt Unia de goedkeuring aan van een algemene kaderordonnantie ter bestrijding van discriminatie, die van toepassing zou zijn op alle bevoegdheidsdomeinen van het Brussels Hoofdstedelijk Gewest en die alle criteria dekt die moeten worden beschermd, om op die manier de bescherming van de burgers doorheen alle gewestbevoegdheden en op de verschillende Belgische bevoegdheidsniveaus te stroomlijnen.</w:t>
      </w:r>
    </w:p>
    <w:p w14:paraId="0B221B9B" w14:textId="77777777" w:rsidR="00656993" w:rsidRDefault="00656993" w:rsidP="00656993">
      <w:pPr>
        <w:rPr>
          <w:b/>
        </w:rPr>
      </w:pPr>
    </w:p>
    <w:p w14:paraId="3689BA2A" w14:textId="6D59ABB7" w:rsidR="00656993" w:rsidRPr="000F340A" w:rsidRDefault="00656993" w:rsidP="00656993">
      <w:r>
        <w:t xml:space="preserve">De toepassing van zo'n kaderordonnantie zou ongetwijfeld eenvoudiger zijn dan die van </w:t>
      </w:r>
      <w:r w:rsidR="00A37D8B">
        <w:t>de</w:t>
      </w:r>
      <w:r>
        <w:t xml:space="preserve"> huidige antidiscriminatie</w:t>
      </w:r>
      <w:r w:rsidR="00A37D8B">
        <w:t>wetgeving</w:t>
      </w:r>
      <w:r>
        <w:t xml:space="preserve"> van het Brussels Gewest</w:t>
      </w:r>
      <w:r w:rsidR="00A37D8B">
        <w:t>. Het zou een voorbeeld</w:t>
      </w:r>
      <w:r>
        <w:t xml:space="preserve"> kunnen nemen aan het federale niveau </w:t>
      </w:r>
      <w:r w:rsidR="00A37D8B">
        <w:t>of</w:t>
      </w:r>
      <w:r>
        <w:t xml:space="preserve"> de andere gewesten en gemeenschappen die reeds over zo'n globaal en gecoördineerd kader beschikken.</w:t>
      </w:r>
    </w:p>
    <w:p w14:paraId="5CB7A137" w14:textId="77777777" w:rsidR="00064035" w:rsidRPr="00810C52" w:rsidRDefault="00656993" w:rsidP="00656993">
      <w:pPr>
        <w:pStyle w:val="Titre1"/>
      </w:pPr>
      <w:r>
        <w:t xml:space="preserve"> </w:t>
      </w:r>
      <w:bookmarkStart w:id="7" w:name="_Toc478481371"/>
      <w:r>
        <w:t>Contact Unia</w:t>
      </w:r>
      <w:bookmarkEnd w:id="7"/>
    </w:p>
    <w:p w14:paraId="0BB0B185" w14:textId="77777777" w:rsidR="00BF738E" w:rsidRDefault="00BF738E" w:rsidP="0004354E"/>
    <w:p w14:paraId="1496FC6F" w14:textId="77777777" w:rsidR="0041251A" w:rsidRPr="00C526F4" w:rsidRDefault="00E85189" w:rsidP="0004354E">
      <w:r>
        <w:t>Bruno.Martens@unia.be</w:t>
      </w:r>
    </w:p>
    <w:sectPr w:rsidR="0041251A" w:rsidRPr="00C526F4" w:rsidSect="00657EE6">
      <w:headerReference w:type="default" r:id="rId16"/>
      <w:footerReference w:type="default" r:id="rId17"/>
      <w:pgSz w:w="11906" w:h="16838"/>
      <w:pgMar w:top="1985" w:right="1417" w:bottom="719" w:left="1417" w:header="0"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EDBE1" w15:done="0"/>
  <w15:commentEx w15:paraId="1C5A8167" w15:done="0"/>
  <w15:commentEx w15:paraId="554082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722A" w14:textId="77777777" w:rsidR="007A55C7" w:rsidRDefault="007A55C7" w:rsidP="00064035">
      <w:r>
        <w:separator/>
      </w:r>
    </w:p>
  </w:endnote>
  <w:endnote w:type="continuationSeparator" w:id="0">
    <w:p w14:paraId="67A5212E" w14:textId="77777777" w:rsidR="007A55C7" w:rsidRDefault="007A55C7" w:rsidP="00064035">
      <w:r>
        <w:continuationSeparator/>
      </w:r>
    </w:p>
  </w:endnote>
  <w:endnote w:type="continuationNotice" w:id="1">
    <w:p w14:paraId="4E5C9EA5" w14:textId="77777777" w:rsidR="007A55C7" w:rsidRDefault="007A5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54338"/>
      <w:docPartObj>
        <w:docPartGallery w:val="Page Numbers (Bottom of Page)"/>
        <w:docPartUnique/>
      </w:docPartObj>
    </w:sdtPr>
    <w:sdtEndPr/>
    <w:sdtContent>
      <w:p w14:paraId="78643379" w14:textId="77777777" w:rsidR="00267307" w:rsidRDefault="00267307">
        <w:pPr>
          <w:pStyle w:val="Pieddepage"/>
          <w:jc w:val="right"/>
        </w:pPr>
        <w:r>
          <w:fldChar w:fldCharType="begin"/>
        </w:r>
        <w:r>
          <w:instrText>PAGE   \* MERGEFORMAT</w:instrText>
        </w:r>
        <w:r>
          <w:fldChar w:fldCharType="separate"/>
        </w:r>
        <w:r w:rsidR="0066006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6F156" w14:textId="77777777" w:rsidR="007A55C7" w:rsidRDefault="007A55C7" w:rsidP="00064035">
      <w:r>
        <w:separator/>
      </w:r>
    </w:p>
  </w:footnote>
  <w:footnote w:type="continuationSeparator" w:id="0">
    <w:p w14:paraId="78BDADEB" w14:textId="77777777" w:rsidR="007A55C7" w:rsidRDefault="007A55C7" w:rsidP="00064035">
      <w:r>
        <w:continuationSeparator/>
      </w:r>
    </w:p>
  </w:footnote>
  <w:footnote w:type="continuationNotice" w:id="1">
    <w:p w14:paraId="0CE6C42F" w14:textId="77777777" w:rsidR="007A55C7" w:rsidRDefault="007A55C7"/>
  </w:footnote>
  <w:footnote w:id="2">
    <w:p w14:paraId="31D2D510" w14:textId="77777777" w:rsidR="00267307" w:rsidRPr="00F73116" w:rsidRDefault="00267307">
      <w:pPr>
        <w:pStyle w:val="Notedebasdepage"/>
      </w:pPr>
      <w:r>
        <w:rPr>
          <w:rStyle w:val="Appelnotedebasdep"/>
        </w:rPr>
        <w:footnoteRef/>
      </w:r>
      <w:r>
        <w:t xml:space="preserve"> De domeinen waarvoor de gemeenschapscommissies bevoegd zijn komen in het kader van deze aanbeveling niet aan bod.</w:t>
      </w:r>
    </w:p>
  </w:footnote>
  <w:footnote w:id="3">
    <w:p w14:paraId="00449EC8" w14:textId="77777777" w:rsidR="00E85443" w:rsidRDefault="00267307" w:rsidP="00D57272">
      <w:pPr>
        <w:pStyle w:val="Notedebasdepage"/>
        <w:jc w:val="left"/>
        <w:rPr>
          <w:lang w:val="nl-NL"/>
        </w:rPr>
      </w:pPr>
      <w:r w:rsidRPr="000954BC">
        <w:rPr>
          <w:rStyle w:val="Appelnotedebasdep"/>
        </w:rPr>
        <w:footnoteRef/>
      </w:r>
      <w:r w:rsidRPr="000954BC">
        <w:t xml:space="preserve">Zie bijvoorbeeld : </w:t>
      </w:r>
      <w:hyperlink r:id="rId1">
        <w:r>
          <w:rPr>
            <w:rStyle w:val="Lienhypertexte"/>
          </w:rPr>
          <w:t>http://www.unia.be/nl/wetgeving-aanbevelingen/aanbevelingen-van-unia/gelijke-behandeling-op-de-particuliere-huurmarkt-in-het-brusselse-hoofdstedelijke-gewest-na-de-zesde-staatshervorming</w:t>
        </w:r>
      </w:hyperlink>
    </w:p>
    <w:p w14:paraId="638C1B92" w14:textId="77777777" w:rsidR="00395A67" w:rsidRPr="00A20FE1" w:rsidRDefault="00395A67">
      <w:pPr>
        <w:pStyle w:val="Notedebasdepage"/>
        <w:rPr>
          <w:lang w:val="nl-NL"/>
        </w:rPr>
      </w:pPr>
    </w:p>
  </w:footnote>
  <w:footnote w:id="4">
    <w:p w14:paraId="110AA3BC" w14:textId="5AF5F413" w:rsidR="00267307" w:rsidRPr="000954BC" w:rsidRDefault="00267307" w:rsidP="0052381D">
      <w:pPr>
        <w:pStyle w:val="Notedebasdepage"/>
        <w:rPr>
          <w:lang w:val="nl-NL"/>
        </w:rPr>
      </w:pPr>
      <w:r w:rsidRPr="000954BC">
        <w:rPr>
          <w:rStyle w:val="Appelnotedebasdep"/>
        </w:rPr>
        <w:footnoteRef/>
      </w:r>
      <w:r w:rsidRPr="000954BC">
        <w:t xml:space="preserve"> Brussels Hoofdstedelijk Parlement, </w:t>
      </w:r>
      <w:hyperlink r:id="rId2" w:history="1">
        <w:r w:rsidRPr="000954BC">
          <w:rPr>
            <w:rStyle w:val="Lienhypertexte"/>
          </w:rPr>
          <w:t>I.V. N° 34 – Zitting 2007-2008</w:t>
        </w:r>
      </w:hyperlink>
      <w:r w:rsidRPr="000954BC">
        <w:t xml:space="preserve">, Plenaire vergadering van 17 juli 2008 (ochtendvergadering), p.33, en </w:t>
      </w:r>
      <w:hyperlink r:id="rId3">
        <w:r w:rsidRPr="000954BC">
          <w:rPr>
            <w:rStyle w:val="Lienhypertexte"/>
            <w:color w:val="auto"/>
          </w:rPr>
          <w:t>I.V. N° 35 – Zitting 2007-2008</w:t>
        </w:r>
      </w:hyperlink>
      <w:r w:rsidRPr="000954BC">
        <w:t>, Plenaire vergadering van 17 juli 2008 (namiddagvergadering), p.12.</w:t>
      </w:r>
    </w:p>
  </w:footnote>
  <w:footnote w:id="5">
    <w:p w14:paraId="61D186FB" w14:textId="6026445C" w:rsidR="00E85443" w:rsidRPr="00D57272" w:rsidRDefault="00267307">
      <w:pPr>
        <w:pStyle w:val="Notedebasdepage"/>
        <w:rPr>
          <w:lang w:val="nl-NL"/>
        </w:rPr>
      </w:pPr>
      <w:r>
        <w:rPr>
          <w:rStyle w:val="Appelnotedebasdep"/>
        </w:rPr>
        <w:footnoteRef/>
      </w:r>
      <w:hyperlink r:id="rId4">
        <w:r>
          <w:rPr>
            <w:rStyle w:val="Lienhypertexte"/>
          </w:rPr>
          <w:t>http://www.unia.be/nl/wetgeving-aanbevelingen/aanbevelingen-van-unia/gelijke-behandeling-op-de-particuliere-huurmarkt-in-het-brusselse-hoofdstedelijke-gewest-na-de-zesde-staatshervorming</w:t>
        </w:r>
      </w:hyperlink>
    </w:p>
  </w:footnote>
  <w:footnote w:id="6">
    <w:p w14:paraId="20263CDB" w14:textId="016AB03F" w:rsidR="00592693" w:rsidRDefault="00592693">
      <w:pPr>
        <w:pStyle w:val="Notedebasdepage"/>
      </w:pPr>
      <w:r>
        <w:rPr>
          <w:rStyle w:val="Appelnotedebasdep"/>
        </w:rPr>
        <w:footnoteRef/>
      </w:r>
      <w:r>
        <w:t xml:space="preserve"> </w:t>
      </w:r>
      <w:hyperlink r:id="rId5" w:history="1">
        <w:r w:rsidRPr="00780AF5">
          <w:rPr>
            <w:rStyle w:val="Lienhypertexte"/>
          </w:rPr>
          <w:t>http://weblex.irisnet.be/data/crb/doc/2016-17/131771/images.pdf</w:t>
        </w:r>
      </w:hyperlink>
    </w:p>
    <w:p w14:paraId="26C0563E" w14:textId="77777777" w:rsidR="00592693" w:rsidRPr="00592693" w:rsidRDefault="00592693">
      <w:pPr>
        <w:pStyle w:val="Notedebasdepage"/>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ACA6" w14:textId="77777777" w:rsidR="00267307" w:rsidRDefault="00267307" w:rsidP="00056789">
    <w:pPr>
      <w:pStyle w:val="En-tte"/>
      <w:rPr>
        <w:rFonts w:ascii="Arial Narrow" w:hAnsi="Arial Narrow"/>
        <w:b/>
      </w:rPr>
    </w:pPr>
  </w:p>
  <w:p w14:paraId="09D93DCA" w14:textId="77777777" w:rsidR="00267307" w:rsidRDefault="00267307" w:rsidP="00056789">
    <w:pPr>
      <w:pStyle w:val="En-tte"/>
      <w:rPr>
        <w:rFonts w:ascii="Arial Narrow" w:hAnsi="Arial Narrow"/>
        <w:b/>
      </w:rPr>
    </w:pPr>
  </w:p>
  <w:p w14:paraId="6E242DEB" w14:textId="77777777" w:rsidR="00267307" w:rsidRDefault="00267307" w:rsidP="00056789">
    <w:pPr>
      <w:pStyle w:val="En-tte"/>
      <w:rPr>
        <w:rFonts w:ascii="Arial Narrow" w:hAnsi="Arial Narrow"/>
        <w:b/>
      </w:rPr>
    </w:pPr>
    <w:r>
      <w:rPr>
        <w:noProof/>
        <w:lang w:val="fr-BE" w:eastAsia="fr-BE" w:bidi="ar-SA"/>
      </w:rPr>
      <w:drawing>
        <wp:inline distT="0" distB="0" distL="0" distR="0" wp14:anchorId="6D2A34BA" wp14:editId="0735B0F8">
          <wp:extent cx="1600010" cy="771277"/>
          <wp:effectExtent l="0" t="0" r="635" b="0"/>
          <wp:docPr id="3" name="Image 3" descr="https://cvg.arxus.eu/COMM/Trans%20Unia%20Express/UNIA-Logo/UNIA_CMYK_NL_F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vg.arxus.eu/COMM/Trans%20Unia%20Express/UNIA-Logo/UNIA_CMYK_NL_FR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326" cy="773840"/>
                  </a:xfrm>
                  <a:prstGeom prst="rect">
                    <a:avLst/>
                  </a:prstGeom>
                  <a:noFill/>
                  <a:ln>
                    <a:noFill/>
                  </a:ln>
                </pic:spPr>
              </pic:pic>
            </a:graphicData>
          </a:graphic>
        </wp:inline>
      </w:drawing>
    </w:r>
  </w:p>
  <w:p w14:paraId="7D0291C5" w14:textId="77777777" w:rsidR="00267307" w:rsidRDefault="00267307" w:rsidP="00056789">
    <w:pPr>
      <w:pStyle w:val="En-tte"/>
      <w:rPr>
        <w:rFonts w:ascii="Arial Narrow" w:hAnsi="Arial Narrow"/>
        <w:b/>
      </w:rPr>
    </w:pPr>
  </w:p>
  <w:p w14:paraId="669F2714" w14:textId="77777777" w:rsidR="00267307" w:rsidRPr="00056789" w:rsidRDefault="00267307" w:rsidP="00056789">
    <w:pPr>
      <w:pStyle w:val="En-tte"/>
      <w:rPr>
        <w:rFonts w:ascii="Arial Narrow" w:hAnsi="Arial Narro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1E1"/>
    <w:multiLevelType w:val="hybridMultilevel"/>
    <w:tmpl w:val="99666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711B44"/>
    <w:multiLevelType w:val="hybridMultilevel"/>
    <w:tmpl w:val="6FB28D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7EA4662"/>
    <w:multiLevelType w:val="multilevel"/>
    <w:tmpl w:val="C91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F7FC2"/>
    <w:multiLevelType w:val="hybridMultilevel"/>
    <w:tmpl w:val="2F2AEA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D383F53"/>
    <w:multiLevelType w:val="hybridMultilevel"/>
    <w:tmpl w:val="CDDC1FDE"/>
    <w:lvl w:ilvl="0" w:tplc="93C2FED4">
      <w:start w:val="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E515D2B"/>
    <w:multiLevelType w:val="hybridMultilevel"/>
    <w:tmpl w:val="10A4BF9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0F7F2BE1"/>
    <w:multiLevelType w:val="hybridMultilevel"/>
    <w:tmpl w:val="19B8ECB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1540744A"/>
    <w:multiLevelType w:val="hybridMultilevel"/>
    <w:tmpl w:val="F47A6FBE"/>
    <w:lvl w:ilvl="0" w:tplc="CC2E9A20">
      <w:start w:val="1"/>
      <w:numFmt w:val="decimal"/>
      <w:lvlText w:val="%1."/>
      <w:lvlJc w:val="left"/>
      <w:pPr>
        <w:ind w:left="720" w:hanging="360"/>
      </w:pPr>
      <w:rPr>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0D7024D"/>
    <w:multiLevelType w:val="multilevel"/>
    <w:tmpl w:val="A27C1812"/>
    <w:lvl w:ilvl="0">
      <w:start w:val="1"/>
      <w:numFmt w:val="decimal"/>
      <w:pStyle w:val="Titre1"/>
      <w:lvlText w:val="%1."/>
      <w:lvlJc w:val="left"/>
      <w:pPr>
        <w:ind w:left="360" w:hanging="360"/>
      </w:pPr>
    </w:lvl>
    <w:lvl w:ilvl="1">
      <w:start w:val="1"/>
      <w:numFmt w:val="decimal"/>
      <w:pStyle w:val="Titre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9387579"/>
    <w:multiLevelType w:val="hybridMultilevel"/>
    <w:tmpl w:val="571AFA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94044EF"/>
    <w:multiLevelType w:val="hybridMultilevel"/>
    <w:tmpl w:val="A62A14FA"/>
    <w:lvl w:ilvl="0" w:tplc="FA88FBD8">
      <w:start w:val="4"/>
      <w:numFmt w:val="decimal"/>
      <w:lvlText w:val="%1.1."/>
      <w:lvlJc w:val="left"/>
      <w:pPr>
        <w:ind w:left="360" w:hanging="360"/>
      </w:pPr>
      <w:rPr>
        <w:rFonts w:hint="default"/>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11">
    <w:nsid w:val="294C0A24"/>
    <w:multiLevelType w:val="hybridMultilevel"/>
    <w:tmpl w:val="883853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AE1469C"/>
    <w:multiLevelType w:val="hybridMultilevel"/>
    <w:tmpl w:val="D8EA10CA"/>
    <w:lvl w:ilvl="0" w:tplc="11A2F5BC">
      <w:start w:val="8"/>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BA930C7"/>
    <w:multiLevelType w:val="hybridMultilevel"/>
    <w:tmpl w:val="5282D5AE"/>
    <w:lvl w:ilvl="0" w:tplc="0FEC0BEC">
      <w:start w:val="4"/>
      <w:numFmt w:val="decimal"/>
      <w:lvlText w:val="%1.1."/>
      <w:lvlJc w:val="left"/>
      <w:pPr>
        <w:ind w:left="360" w:hanging="360"/>
      </w:pPr>
      <w:rPr>
        <w:rFonts w:hint="default"/>
        <w:b/>
      </w:rPr>
    </w:lvl>
    <w:lvl w:ilvl="1" w:tplc="080C0019" w:tentative="1">
      <w:start w:val="1"/>
      <w:numFmt w:val="lowerLetter"/>
      <w:lvlText w:val="%2."/>
      <w:lvlJc w:val="left"/>
      <w:pPr>
        <w:ind w:left="1298" w:hanging="360"/>
      </w:pPr>
    </w:lvl>
    <w:lvl w:ilvl="2" w:tplc="080C001B" w:tentative="1">
      <w:start w:val="1"/>
      <w:numFmt w:val="lowerRoman"/>
      <w:lvlText w:val="%3."/>
      <w:lvlJc w:val="right"/>
      <w:pPr>
        <w:ind w:left="2018" w:hanging="180"/>
      </w:pPr>
    </w:lvl>
    <w:lvl w:ilvl="3" w:tplc="080C000F" w:tentative="1">
      <w:start w:val="1"/>
      <w:numFmt w:val="decimal"/>
      <w:lvlText w:val="%4."/>
      <w:lvlJc w:val="left"/>
      <w:pPr>
        <w:ind w:left="2738" w:hanging="360"/>
      </w:pPr>
    </w:lvl>
    <w:lvl w:ilvl="4" w:tplc="080C0019" w:tentative="1">
      <w:start w:val="1"/>
      <w:numFmt w:val="lowerLetter"/>
      <w:lvlText w:val="%5."/>
      <w:lvlJc w:val="left"/>
      <w:pPr>
        <w:ind w:left="3458" w:hanging="360"/>
      </w:pPr>
    </w:lvl>
    <w:lvl w:ilvl="5" w:tplc="080C001B" w:tentative="1">
      <w:start w:val="1"/>
      <w:numFmt w:val="lowerRoman"/>
      <w:lvlText w:val="%6."/>
      <w:lvlJc w:val="right"/>
      <w:pPr>
        <w:ind w:left="4178" w:hanging="180"/>
      </w:pPr>
    </w:lvl>
    <w:lvl w:ilvl="6" w:tplc="080C000F" w:tentative="1">
      <w:start w:val="1"/>
      <w:numFmt w:val="decimal"/>
      <w:lvlText w:val="%7."/>
      <w:lvlJc w:val="left"/>
      <w:pPr>
        <w:ind w:left="4898" w:hanging="360"/>
      </w:pPr>
    </w:lvl>
    <w:lvl w:ilvl="7" w:tplc="080C0019" w:tentative="1">
      <w:start w:val="1"/>
      <w:numFmt w:val="lowerLetter"/>
      <w:lvlText w:val="%8."/>
      <w:lvlJc w:val="left"/>
      <w:pPr>
        <w:ind w:left="5618" w:hanging="360"/>
      </w:pPr>
    </w:lvl>
    <w:lvl w:ilvl="8" w:tplc="080C001B" w:tentative="1">
      <w:start w:val="1"/>
      <w:numFmt w:val="lowerRoman"/>
      <w:lvlText w:val="%9."/>
      <w:lvlJc w:val="right"/>
      <w:pPr>
        <w:ind w:left="6338" w:hanging="180"/>
      </w:pPr>
    </w:lvl>
  </w:abstractNum>
  <w:abstractNum w:abstractNumId="14">
    <w:nsid w:val="2C057A18"/>
    <w:multiLevelType w:val="hybridMultilevel"/>
    <w:tmpl w:val="23FE1C6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EA53087"/>
    <w:multiLevelType w:val="hybridMultilevel"/>
    <w:tmpl w:val="DEB0BB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20B1204"/>
    <w:multiLevelType w:val="hybridMultilevel"/>
    <w:tmpl w:val="8822E332"/>
    <w:lvl w:ilvl="0" w:tplc="128CDC54">
      <w:start w:val="1"/>
      <w:numFmt w:val="decimal"/>
      <w:lvlText w:val="%1.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341F558F"/>
    <w:multiLevelType w:val="hybridMultilevel"/>
    <w:tmpl w:val="48985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A4410F5"/>
    <w:multiLevelType w:val="hybridMultilevel"/>
    <w:tmpl w:val="6C44C83A"/>
    <w:lvl w:ilvl="0" w:tplc="40A0C1FC">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23E7CE2"/>
    <w:multiLevelType w:val="hybridMultilevel"/>
    <w:tmpl w:val="B87CDB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4204F96"/>
    <w:multiLevelType w:val="hybridMultilevel"/>
    <w:tmpl w:val="04628C60"/>
    <w:lvl w:ilvl="0" w:tplc="128CDC54">
      <w:start w:val="1"/>
      <w:numFmt w:val="decimal"/>
      <w:lvlText w:val="%1.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1">
    <w:nsid w:val="47496DA6"/>
    <w:multiLevelType w:val="hybridMultilevel"/>
    <w:tmpl w:val="9D46044A"/>
    <w:lvl w:ilvl="0" w:tplc="B68822CE">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48095469"/>
    <w:multiLevelType w:val="hybridMultilevel"/>
    <w:tmpl w:val="FC0A9AF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4BF41EAB"/>
    <w:multiLevelType w:val="hybridMultilevel"/>
    <w:tmpl w:val="71B6B5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4CCE4C9A"/>
    <w:multiLevelType w:val="hybridMultilevel"/>
    <w:tmpl w:val="F76459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4CD96DB0"/>
    <w:multiLevelType w:val="hybridMultilevel"/>
    <w:tmpl w:val="9C24B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18A6586"/>
    <w:multiLevelType w:val="hybridMultilevel"/>
    <w:tmpl w:val="19EA9864"/>
    <w:lvl w:ilvl="0" w:tplc="7B0CE62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45F0844"/>
    <w:multiLevelType w:val="hybridMultilevel"/>
    <w:tmpl w:val="53822E9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5E64631C"/>
    <w:multiLevelType w:val="hybridMultilevel"/>
    <w:tmpl w:val="D39E001C"/>
    <w:lvl w:ilvl="0" w:tplc="128CDC54">
      <w:start w:val="1"/>
      <w:numFmt w:val="decimal"/>
      <w:lvlText w:val="%1.1."/>
      <w:lvlJc w:val="left"/>
      <w:pPr>
        <w:ind w:left="114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9">
    <w:nsid w:val="64CA5475"/>
    <w:multiLevelType w:val="hybridMultilevel"/>
    <w:tmpl w:val="940CFE4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65B92401"/>
    <w:multiLevelType w:val="multilevel"/>
    <w:tmpl w:val="02AA6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223BC8"/>
    <w:multiLevelType w:val="hybridMultilevel"/>
    <w:tmpl w:val="AB487A46"/>
    <w:lvl w:ilvl="0" w:tplc="5AF62CB2">
      <w:start w:val="1"/>
      <w:numFmt w:val="decimal"/>
      <w:lvlText w:val="%1."/>
      <w:lvlJc w:val="left"/>
      <w:pPr>
        <w:ind w:left="720" w:hanging="360"/>
      </w:pPr>
      <w:rPr>
        <w:i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nsid w:val="6B0E4B9D"/>
    <w:multiLevelType w:val="hybridMultilevel"/>
    <w:tmpl w:val="2E1A27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29A5779"/>
    <w:multiLevelType w:val="hybridMultilevel"/>
    <w:tmpl w:val="FAA63462"/>
    <w:lvl w:ilvl="0" w:tplc="128CDC54">
      <w:start w:val="1"/>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nsid w:val="72DB137D"/>
    <w:multiLevelType w:val="multilevel"/>
    <w:tmpl w:val="AAF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B20EDE"/>
    <w:multiLevelType w:val="hybridMultilevel"/>
    <w:tmpl w:val="049E793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9"/>
  </w:num>
  <w:num w:numId="2">
    <w:abstractNumId w:val="9"/>
  </w:num>
  <w:num w:numId="3">
    <w:abstractNumId w:val="17"/>
  </w:num>
  <w:num w:numId="4">
    <w:abstractNumId w:val="11"/>
  </w:num>
  <w:num w:numId="5">
    <w:abstractNumId w:val="5"/>
  </w:num>
  <w:num w:numId="6">
    <w:abstractNumId w:val="27"/>
  </w:num>
  <w:num w:numId="7">
    <w:abstractNumId w:val="12"/>
  </w:num>
  <w:num w:numId="8">
    <w:abstractNumId w:val="4"/>
  </w:num>
  <w:num w:numId="9">
    <w:abstractNumId w:val="25"/>
  </w:num>
  <w:num w:numId="10">
    <w:abstractNumId w:val="21"/>
  </w:num>
  <w:num w:numId="11">
    <w:abstractNumId w:val="8"/>
  </w:num>
  <w:num w:numId="12">
    <w:abstractNumId w:val="18"/>
  </w:num>
  <w:num w:numId="13">
    <w:abstractNumId w:val="32"/>
  </w:num>
  <w:num w:numId="14">
    <w:abstractNumId w:val="28"/>
  </w:num>
  <w:num w:numId="15">
    <w:abstractNumId w:val="26"/>
  </w:num>
  <w:num w:numId="16">
    <w:abstractNumId w:val="16"/>
  </w:num>
  <w:num w:numId="17">
    <w:abstractNumId w:val="14"/>
  </w:num>
  <w:num w:numId="18">
    <w:abstractNumId w:val="0"/>
  </w:num>
  <w:num w:numId="19">
    <w:abstractNumId w:val="2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35"/>
  </w:num>
  <w:num w:numId="24">
    <w:abstractNumId w:val="2"/>
  </w:num>
  <w:num w:numId="25">
    <w:abstractNumId w:val="23"/>
  </w:num>
  <w:num w:numId="26">
    <w:abstractNumId w:val="3"/>
  </w:num>
  <w:num w:numId="27">
    <w:abstractNumId w:val="15"/>
  </w:num>
  <w:num w:numId="28">
    <w:abstractNumId w:val="30"/>
  </w:num>
  <w:num w:numId="29">
    <w:abstractNumId w:val="6"/>
  </w:num>
  <w:num w:numId="30">
    <w:abstractNumId w:val="33"/>
  </w:num>
  <w:num w:numId="31">
    <w:abstractNumId w:val="20"/>
  </w:num>
  <w:num w:numId="32">
    <w:abstractNumId w:val="13"/>
  </w:num>
  <w:num w:numId="33">
    <w:abstractNumId w:val="10"/>
  </w:num>
  <w:num w:numId="34">
    <w:abstractNumId w:val="34"/>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35"/>
    <w:rsid w:val="00001FDB"/>
    <w:rsid w:val="00004B74"/>
    <w:rsid w:val="000139D1"/>
    <w:rsid w:val="00021994"/>
    <w:rsid w:val="00023C7C"/>
    <w:rsid w:val="00023C80"/>
    <w:rsid w:val="000258B2"/>
    <w:rsid w:val="00026EE9"/>
    <w:rsid w:val="0004354E"/>
    <w:rsid w:val="00056789"/>
    <w:rsid w:val="00064035"/>
    <w:rsid w:val="00065412"/>
    <w:rsid w:val="000718E2"/>
    <w:rsid w:val="000748AE"/>
    <w:rsid w:val="00077CBA"/>
    <w:rsid w:val="00090894"/>
    <w:rsid w:val="000954BC"/>
    <w:rsid w:val="000A3FD3"/>
    <w:rsid w:val="000B0605"/>
    <w:rsid w:val="000B1184"/>
    <w:rsid w:val="000B42CD"/>
    <w:rsid w:val="000C29C7"/>
    <w:rsid w:val="000C4A78"/>
    <w:rsid w:val="000D0DFE"/>
    <w:rsid w:val="000F2C3B"/>
    <w:rsid w:val="000F340A"/>
    <w:rsid w:val="000F7553"/>
    <w:rsid w:val="00102700"/>
    <w:rsid w:val="001052FA"/>
    <w:rsid w:val="00113319"/>
    <w:rsid w:val="001212AB"/>
    <w:rsid w:val="00130A0B"/>
    <w:rsid w:val="0013119A"/>
    <w:rsid w:val="001436B0"/>
    <w:rsid w:val="00153398"/>
    <w:rsid w:val="00157A59"/>
    <w:rsid w:val="00157D27"/>
    <w:rsid w:val="00161F23"/>
    <w:rsid w:val="001647AC"/>
    <w:rsid w:val="001732ED"/>
    <w:rsid w:val="00175732"/>
    <w:rsid w:val="00180AD6"/>
    <w:rsid w:val="00192327"/>
    <w:rsid w:val="001A32FE"/>
    <w:rsid w:val="001A5863"/>
    <w:rsid w:val="001A7AA7"/>
    <w:rsid w:val="001B0357"/>
    <w:rsid w:val="001B5896"/>
    <w:rsid w:val="001C1977"/>
    <w:rsid w:val="001C4B3B"/>
    <w:rsid w:val="001C7FB8"/>
    <w:rsid w:val="001D170F"/>
    <w:rsid w:val="001D3874"/>
    <w:rsid w:val="001D6F63"/>
    <w:rsid w:val="001D72E7"/>
    <w:rsid w:val="001F20C4"/>
    <w:rsid w:val="001F748D"/>
    <w:rsid w:val="00201D62"/>
    <w:rsid w:val="00205CD2"/>
    <w:rsid w:val="00210437"/>
    <w:rsid w:val="002112A9"/>
    <w:rsid w:val="00212F9A"/>
    <w:rsid w:val="002135A9"/>
    <w:rsid w:val="00213CB9"/>
    <w:rsid w:val="0022057B"/>
    <w:rsid w:val="00220D02"/>
    <w:rsid w:val="00226A89"/>
    <w:rsid w:val="00235AE2"/>
    <w:rsid w:val="00242F2D"/>
    <w:rsid w:val="00243321"/>
    <w:rsid w:val="002537C1"/>
    <w:rsid w:val="00256509"/>
    <w:rsid w:val="00260220"/>
    <w:rsid w:val="002614EE"/>
    <w:rsid w:val="00262592"/>
    <w:rsid w:val="00263910"/>
    <w:rsid w:val="00267307"/>
    <w:rsid w:val="00271060"/>
    <w:rsid w:val="00281622"/>
    <w:rsid w:val="00295935"/>
    <w:rsid w:val="002B2D71"/>
    <w:rsid w:val="002C4528"/>
    <w:rsid w:val="002E43B0"/>
    <w:rsid w:val="002E4687"/>
    <w:rsid w:val="002F27A5"/>
    <w:rsid w:val="00303C2B"/>
    <w:rsid w:val="00304C39"/>
    <w:rsid w:val="00316EC3"/>
    <w:rsid w:val="00320F9B"/>
    <w:rsid w:val="0032204A"/>
    <w:rsid w:val="003332AD"/>
    <w:rsid w:val="00333F03"/>
    <w:rsid w:val="00340DA7"/>
    <w:rsid w:val="003447E1"/>
    <w:rsid w:val="00345F59"/>
    <w:rsid w:val="0035325E"/>
    <w:rsid w:val="0035329F"/>
    <w:rsid w:val="00363B5D"/>
    <w:rsid w:val="003674D2"/>
    <w:rsid w:val="003702B4"/>
    <w:rsid w:val="00371416"/>
    <w:rsid w:val="00372088"/>
    <w:rsid w:val="00390317"/>
    <w:rsid w:val="00393083"/>
    <w:rsid w:val="00395A67"/>
    <w:rsid w:val="003A7552"/>
    <w:rsid w:val="003B0D2A"/>
    <w:rsid w:val="003B192F"/>
    <w:rsid w:val="003C1A93"/>
    <w:rsid w:val="003C48A4"/>
    <w:rsid w:val="003D1943"/>
    <w:rsid w:val="003D5FAA"/>
    <w:rsid w:val="003E1516"/>
    <w:rsid w:val="003E3966"/>
    <w:rsid w:val="003F1544"/>
    <w:rsid w:val="003F292D"/>
    <w:rsid w:val="003F3596"/>
    <w:rsid w:val="003F479E"/>
    <w:rsid w:val="00400504"/>
    <w:rsid w:val="0040371A"/>
    <w:rsid w:val="00403AA8"/>
    <w:rsid w:val="00404E27"/>
    <w:rsid w:val="0041251A"/>
    <w:rsid w:val="004171E3"/>
    <w:rsid w:val="00423C57"/>
    <w:rsid w:val="00425CF3"/>
    <w:rsid w:val="004317B8"/>
    <w:rsid w:val="00445E69"/>
    <w:rsid w:val="00452A25"/>
    <w:rsid w:val="00452B9D"/>
    <w:rsid w:val="00452C14"/>
    <w:rsid w:val="00462DF6"/>
    <w:rsid w:val="0046615F"/>
    <w:rsid w:val="00466C5C"/>
    <w:rsid w:val="00470EB1"/>
    <w:rsid w:val="004713F0"/>
    <w:rsid w:val="00477011"/>
    <w:rsid w:val="004868A4"/>
    <w:rsid w:val="004B34DD"/>
    <w:rsid w:val="004B6749"/>
    <w:rsid w:val="004C5964"/>
    <w:rsid w:val="004D3C58"/>
    <w:rsid w:val="004E77FB"/>
    <w:rsid w:val="00500388"/>
    <w:rsid w:val="005049F2"/>
    <w:rsid w:val="005067BC"/>
    <w:rsid w:val="0051076E"/>
    <w:rsid w:val="00512859"/>
    <w:rsid w:val="0052381D"/>
    <w:rsid w:val="00525996"/>
    <w:rsid w:val="0054388D"/>
    <w:rsid w:val="0054754A"/>
    <w:rsid w:val="00547A5E"/>
    <w:rsid w:val="005737DB"/>
    <w:rsid w:val="00576677"/>
    <w:rsid w:val="00581B19"/>
    <w:rsid w:val="005824E9"/>
    <w:rsid w:val="00585DD1"/>
    <w:rsid w:val="0058728A"/>
    <w:rsid w:val="00590B3A"/>
    <w:rsid w:val="00592693"/>
    <w:rsid w:val="00595452"/>
    <w:rsid w:val="005A3C36"/>
    <w:rsid w:val="005A3FEA"/>
    <w:rsid w:val="005A514C"/>
    <w:rsid w:val="005A5C58"/>
    <w:rsid w:val="005B2279"/>
    <w:rsid w:val="005B34B7"/>
    <w:rsid w:val="005B578F"/>
    <w:rsid w:val="005B5E10"/>
    <w:rsid w:val="005B6726"/>
    <w:rsid w:val="005B6947"/>
    <w:rsid w:val="005C4B4C"/>
    <w:rsid w:val="005C7E64"/>
    <w:rsid w:val="005D0C02"/>
    <w:rsid w:val="005D1377"/>
    <w:rsid w:val="005D51D0"/>
    <w:rsid w:val="005E341A"/>
    <w:rsid w:val="005F385A"/>
    <w:rsid w:val="005F4889"/>
    <w:rsid w:val="005F7B38"/>
    <w:rsid w:val="00603AF8"/>
    <w:rsid w:val="0061039A"/>
    <w:rsid w:val="00630000"/>
    <w:rsid w:val="00631DC2"/>
    <w:rsid w:val="00633E00"/>
    <w:rsid w:val="00644F21"/>
    <w:rsid w:val="00646C17"/>
    <w:rsid w:val="006475BE"/>
    <w:rsid w:val="006520E9"/>
    <w:rsid w:val="00656993"/>
    <w:rsid w:val="00657EE6"/>
    <w:rsid w:val="00660065"/>
    <w:rsid w:val="0066016B"/>
    <w:rsid w:val="006630CD"/>
    <w:rsid w:val="0066479B"/>
    <w:rsid w:val="006715BE"/>
    <w:rsid w:val="006834ED"/>
    <w:rsid w:val="006840AF"/>
    <w:rsid w:val="006855C6"/>
    <w:rsid w:val="00697E51"/>
    <w:rsid w:val="006A0409"/>
    <w:rsid w:val="006A05BC"/>
    <w:rsid w:val="006B0715"/>
    <w:rsid w:val="006C01A8"/>
    <w:rsid w:val="006C5E6F"/>
    <w:rsid w:val="006C6580"/>
    <w:rsid w:val="006D2A39"/>
    <w:rsid w:val="006D4288"/>
    <w:rsid w:val="006D589A"/>
    <w:rsid w:val="006D614F"/>
    <w:rsid w:val="006E4A8F"/>
    <w:rsid w:val="006F21F9"/>
    <w:rsid w:val="006F2403"/>
    <w:rsid w:val="006F4E71"/>
    <w:rsid w:val="00704E26"/>
    <w:rsid w:val="00710037"/>
    <w:rsid w:val="00715251"/>
    <w:rsid w:val="007164CA"/>
    <w:rsid w:val="00716CB7"/>
    <w:rsid w:val="0073196D"/>
    <w:rsid w:val="00733844"/>
    <w:rsid w:val="00735D00"/>
    <w:rsid w:val="00737337"/>
    <w:rsid w:val="0076617E"/>
    <w:rsid w:val="007874BF"/>
    <w:rsid w:val="00793866"/>
    <w:rsid w:val="007A0F25"/>
    <w:rsid w:val="007A402A"/>
    <w:rsid w:val="007A55C7"/>
    <w:rsid w:val="007A772B"/>
    <w:rsid w:val="007A7CEB"/>
    <w:rsid w:val="007B4ED8"/>
    <w:rsid w:val="007B64C1"/>
    <w:rsid w:val="007C73FA"/>
    <w:rsid w:val="007E071F"/>
    <w:rsid w:val="007E4C47"/>
    <w:rsid w:val="007F01ED"/>
    <w:rsid w:val="007F01EE"/>
    <w:rsid w:val="007F4450"/>
    <w:rsid w:val="00801586"/>
    <w:rsid w:val="008031EA"/>
    <w:rsid w:val="00810C52"/>
    <w:rsid w:val="008229A0"/>
    <w:rsid w:val="008254AC"/>
    <w:rsid w:val="008275D2"/>
    <w:rsid w:val="008357C6"/>
    <w:rsid w:val="00835A81"/>
    <w:rsid w:val="00841515"/>
    <w:rsid w:val="008434CA"/>
    <w:rsid w:val="0085289E"/>
    <w:rsid w:val="0088603A"/>
    <w:rsid w:val="008871B2"/>
    <w:rsid w:val="00890A13"/>
    <w:rsid w:val="00890D25"/>
    <w:rsid w:val="00896E0E"/>
    <w:rsid w:val="00897979"/>
    <w:rsid w:val="008A2F77"/>
    <w:rsid w:val="008B79A9"/>
    <w:rsid w:val="008C6543"/>
    <w:rsid w:val="008F3BBF"/>
    <w:rsid w:val="00906159"/>
    <w:rsid w:val="00906304"/>
    <w:rsid w:val="00914BD9"/>
    <w:rsid w:val="009153C8"/>
    <w:rsid w:val="00915E5E"/>
    <w:rsid w:val="00916184"/>
    <w:rsid w:val="00916567"/>
    <w:rsid w:val="00920A03"/>
    <w:rsid w:val="0092307E"/>
    <w:rsid w:val="00933752"/>
    <w:rsid w:val="0094621E"/>
    <w:rsid w:val="009501D2"/>
    <w:rsid w:val="00951809"/>
    <w:rsid w:val="00965211"/>
    <w:rsid w:val="00966FF1"/>
    <w:rsid w:val="00984292"/>
    <w:rsid w:val="00984A4D"/>
    <w:rsid w:val="00984EE4"/>
    <w:rsid w:val="00984EE6"/>
    <w:rsid w:val="009909CD"/>
    <w:rsid w:val="00993477"/>
    <w:rsid w:val="00995027"/>
    <w:rsid w:val="00995CEB"/>
    <w:rsid w:val="00995D3A"/>
    <w:rsid w:val="009A1812"/>
    <w:rsid w:val="009B18B2"/>
    <w:rsid w:val="009B334F"/>
    <w:rsid w:val="009C3BB5"/>
    <w:rsid w:val="009D16CA"/>
    <w:rsid w:val="009D2FF1"/>
    <w:rsid w:val="009D5348"/>
    <w:rsid w:val="009D53AD"/>
    <w:rsid w:val="009E1FDB"/>
    <w:rsid w:val="009E2A39"/>
    <w:rsid w:val="009F7CAD"/>
    <w:rsid w:val="00A009B1"/>
    <w:rsid w:val="00A16A62"/>
    <w:rsid w:val="00A20FE1"/>
    <w:rsid w:val="00A210FD"/>
    <w:rsid w:val="00A26237"/>
    <w:rsid w:val="00A27EF2"/>
    <w:rsid w:val="00A351A7"/>
    <w:rsid w:val="00A37D8B"/>
    <w:rsid w:val="00A43A7E"/>
    <w:rsid w:val="00A4521C"/>
    <w:rsid w:val="00A50B6E"/>
    <w:rsid w:val="00A514FA"/>
    <w:rsid w:val="00A51827"/>
    <w:rsid w:val="00A64015"/>
    <w:rsid w:val="00A6592A"/>
    <w:rsid w:val="00A76292"/>
    <w:rsid w:val="00A8573A"/>
    <w:rsid w:val="00A94CF1"/>
    <w:rsid w:val="00AA3DB2"/>
    <w:rsid w:val="00AB029F"/>
    <w:rsid w:val="00AB3DCB"/>
    <w:rsid w:val="00AB3FB5"/>
    <w:rsid w:val="00AB7035"/>
    <w:rsid w:val="00AC34B6"/>
    <w:rsid w:val="00AD1D9E"/>
    <w:rsid w:val="00AD29C8"/>
    <w:rsid w:val="00AD5810"/>
    <w:rsid w:val="00AE75E8"/>
    <w:rsid w:val="00AF17FF"/>
    <w:rsid w:val="00AF276C"/>
    <w:rsid w:val="00AF6A85"/>
    <w:rsid w:val="00B01347"/>
    <w:rsid w:val="00B11F78"/>
    <w:rsid w:val="00B142A6"/>
    <w:rsid w:val="00B14BA2"/>
    <w:rsid w:val="00B17A20"/>
    <w:rsid w:val="00B2521D"/>
    <w:rsid w:val="00B431B6"/>
    <w:rsid w:val="00B53B65"/>
    <w:rsid w:val="00B613C6"/>
    <w:rsid w:val="00B632D5"/>
    <w:rsid w:val="00B63855"/>
    <w:rsid w:val="00B6439A"/>
    <w:rsid w:val="00B64555"/>
    <w:rsid w:val="00B6632D"/>
    <w:rsid w:val="00B71E56"/>
    <w:rsid w:val="00B72231"/>
    <w:rsid w:val="00B80DB5"/>
    <w:rsid w:val="00B80F22"/>
    <w:rsid w:val="00B856E1"/>
    <w:rsid w:val="00B933D6"/>
    <w:rsid w:val="00BA507E"/>
    <w:rsid w:val="00BA5C5A"/>
    <w:rsid w:val="00BB7DEB"/>
    <w:rsid w:val="00BC0198"/>
    <w:rsid w:val="00BD21D7"/>
    <w:rsid w:val="00BE2C37"/>
    <w:rsid w:val="00BE54C5"/>
    <w:rsid w:val="00BF04ED"/>
    <w:rsid w:val="00BF738E"/>
    <w:rsid w:val="00C1190A"/>
    <w:rsid w:val="00C23C15"/>
    <w:rsid w:val="00C400D4"/>
    <w:rsid w:val="00C45D46"/>
    <w:rsid w:val="00C526F4"/>
    <w:rsid w:val="00C5796E"/>
    <w:rsid w:val="00C849B9"/>
    <w:rsid w:val="00C85568"/>
    <w:rsid w:val="00C86534"/>
    <w:rsid w:val="00C92D00"/>
    <w:rsid w:val="00CC44DE"/>
    <w:rsid w:val="00CC6C3A"/>
    <w:rsid w:val="00CE78ED"/>
    <w:rsid w:val="00D055BA"/>
    <w:rsid w:val="00D12D79"/>
    <w:rsid w:val="00D13FB2"/>
    <w:rsid w:val="00D16DE9"/>
    <w:rsid w:val="00D21599"/>
    <w:rsid w:val="00D229AF"/>
    <w:rsid w:val="00D315F6"/>
    <w:rsid w:val="00D36745"/>
    <w:rsid w:val="00D444F8"/>
    <w:rsid w:val="00D4508A"/>
    <w:rsid w:val="00D47C93"/>
    <w:rsid w:val="00D56445"/>
    <w:rsid w:val="00D57272"/>
    <w:rsid w:val="00D5775F"/>
    <w:rsid w:val="00D62FC6"/>
    <w:rsid w:val="00D86CE6"/>
    <w:rsid w:val="00DA2C37"/>
    <w:rsid w:val="00DA32EE"/>
    <w:rsid w:val="00DC1074"/>
    <w:rsid w:val="00DC1DCC"/>
    <w:rsid w:val="00DC33DB"/>
    <w:rsid w:val="00DE6135"/>
    <w:rsid w:val="00DE7566"/>
    <w:rsid w:val="00DF3679"/>
    <w:rsid w:val="00DF4EC6"/>
    <w:rsid w:val="00DF5B4B"/>
    <w:rsid w:val="00E01CF5"/>
    <w:rsid w:val="00E040A8"/>
    <w:rsid w:val="00E05132"/>
    <w:rsid w:val="00E12197"/>
    <w:rsid w:val="00E30F7A"/>
    <w:rsid w:val="00E311F9"/>
    <w:rsid w:val="00E344E2"/>
    <w:rsid w:val="00E42E90"/>
    <w:rsid w:val="00E43684"/>
    <w:rsid w:val="00E53BF1"/>
    <w:rsid w:val="00E56679"/>
    <w:rsid w:val="00E6043C"/>
    <w:rsid w:val="00E60ABC"/>
    <w:rsid w:val="00E61C89"/>
    <w:rsid w:val="00E67739"/>
    <w:rsid w:val="00E72534"/>
    <w:rsid w:val="00E8337A"/>
    <w:rsid w:val="00E83CB6"/>
    <w:rsid w:val="00E85189"/>
    <w:rsid w:val="00E85443"/>
    <w:rsid w:val="00E85EE6"/>
    <w:rsid w:val="00E9063D"/>
    <w:rsid w:val="00E91DC8"/>
    <w:rsid w:val="00E94763"/>
    <w:rsid w:val="00E9622A"/>
    <w:rsid w:val="00EA0A92"/>
    <w:rsid w:val="00EA6CC2"/>
    <w:rsid w:val="00EB134F"/>
    <w:rsid w:val="00EB2EAB"/>
    <w:rsid w:val="00EC1044"/>
    <w:rsid w:val="00ED2268"/>
    <w:rsid w:val="00ED4200"/>
    <w:rsid w:val="00EE0EFB"/>
    <w:rsid w:val="00EF1EF2"/>
    <w:rsid w:val="00EF6C67"/>
    <w:rsid w:val="00EF6DEC"/>
    <w:rsid w:val="00F02263"/>
    <w:rsid w:val="00F07B52"/>
    <w:rsid w:val="00F07CAE"/>
    <w:rsid w:val="00F109BF"/>
    <w:rsid w:val="00F113AC"/>
    <w:rsid w:val="00F219EA"/>
    <w:rsid w:val="00F236F3"/>
    <w:rsid w:val="00F24C1A"/>
    <w:rsid w:val="00F37898"/>
    <w:rsid w:val="00F46A3B"/>
    <w:rsid w:val="00F57838"/>
    <w:rsid w:val="00F631A5"/>
    <w:rsid w:val="00F676C9"/>
    <w:rsid w:val="00F73116"/>
    <w:rsid w:val="00F77C22"/>
    <w:rsid w:val="00F81971"/>
    <w:rsid w:val="00F924E6"/>
    <w:rsid w:val="00FA765A"/>
    <w:rsid w:val="00FB7BEE"/>
    <w:rsid w:val="00FC0217"/>
    <w:rsid w:val="00FD00B1"/>
    <w:rsid w:val="00FD56A1"/>
    <w:rsid w:val="00FD7019"/>
    <w:rsid w:val="00FE7F21"/>
    <w:rsid w:val="00FF0BE4"/>
    <w:rsid w:val="00FF4760"/>
    <w:rsid w:val="00FF4D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71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A7"/>
    <w:pPr>
      <w:spacing w:after="0" w:line="240" w:lineRule="auto"/>
      <w:jc w:val="both"/>
    </w:pPr>
    <w:rPr>
      <w:rFonts w:ascii="Calibri" w:eastAsia="Times New Roman" w:hAnsi="Calibri" w:cs="Times New Roman"/>
      <w:sz w:val="24"/>
      <w:szCs w:val="24"/>
    </w:rPr>
  </w:style>
  <w:style w:type="paragraph" w:styleId="Titre1">
    <w:name w:val="heading 1"/>
    <w:basedOn w:val="Normal"/>
    <w:next w:val="Normal"/>
    <w:link w:val="Titre1Car"/>
    <w:uiPriority w:val="9"/>
    <w:qFormat/>
    <w:rsid w:val="00984292"/>
    <w:pPr>
      <w:keepNext/>
      <w:keepLines/>
      <w:numPr>
        <w:numId w:val="11"/>
      </w:numPr>
      <w:spacing w:before="480"/>
      <w:outlineLvl w:val="0"/>
    </w:pPr>
    <w:rPr>
      <w:rFonts w:asciiTheme="minorHAnsi" w:eastAsiaTheme="majorEastAsia" w:hAnsiTheme="minorHAnsi" w:cstheme="majorBidi"/>
      <w:b/>
      <w:bCs/>
      <w:caps/>
      <w:szCs w:val="28"/>
      <w:u w:val="single"/>
    </w:rPr>
  </w:style>
  <w:style w:type="paragraph" w:styleId="Titre2">
    <w:name w:val="heading 2"/>
    <w:basedOn w:val="Normal"/>
    <w:next w:val="Normal"/>
    <w:link w:val="Titre2Car"/>
    <w:uiPriority w:val="9"/>
    <w:unhideWhenUsed/>
    <w:qFormat/>
    <w:rsid w:val="005B6726"/>
    <w:pPr>
      <w:keepNext/>
      <w:keepLines/>
      <w:numPr>
        <w:ilvl w:val="1"/>
        <w:numId w:val="11"/>
      </w:numPr>
      <w:tabs>
        <w:tab w:val="left" w:pos="993"/>
      </w:tabs>
      <w:spacing w:before="200"/>
      <w:outlineLvl w:val="1"/>
    </w:pPr>
    <w:rPr>
      <w:rFonts w:asciiTheme="minorHAnsi" w:eastAsiaTheme="majorEastAsia" w:hAnsiTheme="minorHAnsi" w:cstheme="majorBidi"/>
      <w:b/>
      <w:bCs/>
      <w:smallCaps/>
      <w:u w:val="single"/>
    </w:rPr>
  </w:style>
  <w:style w:type="paragraph" w:styleId="Titre3">
    <w:name w:val="heading 3"/>
    <w:basedOn w:val="Normal"/>
    <w:next w:val="Normal"/>
    <w:link w:val="Titre3Car"/>
    <w:uiPriority w:val="9"/>
    <w:unhideWhenUsed/>
    <w:qFormat/>
    <w:rsid w:val="00FF476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64035"/>
    <w:rPr>
      <w:color w:val="0000FF"/>
      <w:u w:val="single"/>
    </w:rPr>
  </w:style>
  <w:style w:type="paragraph" w:styleId="Notedebasdepage">
    <w:name w:val="footnote text"/>
    <w:basedOn w:val="Normal"/>
    <w:link w:val="NotedebasdepageCar"/>
    <w:semiHidden/>
    <w:rsid w:val="00064035"/>
    <w:rPr>
      <w:sz w:val="20"/>
      <w:szCs w:val="20"/>
    </w:rPr>
  </w:style>
  <w:style w:type="character" w:customStyle="1" w:styleId="NotedebasdepageCar">
    <w:name w:val="Note de bas de page Car"/>
    <w:basedOn w:val="Policepardfaut"/>
    <w:link w:val="Notedebasdepage"/>
    <w:semiHidden/>
    <w:rsid w:val="00064035"/>
    <w:rPr>
      <w:rFonts w:ascii="Times New Roman" w:eastAsia="Times New Roman" w:hAnsi="Times New Roman" w:cs="Times New Roman"/>
      <w:sz w:val="20"/>
      <w:szCs w:val="20"/>
      <w:lang w:val="nl-BE" w:eastAsia="nl-BE"/>
    </w:rPr>
  </w:style>
  <w:style w:type="character" w:styleId="Appelnotedebasdep">
    <w:name w:val="footnote reference"/>
    <w:semiHidden/>
    <w:rsid w:val="00064035"/>
    <w:rPr>
      <w:vertAlign w:val="superscript"/>
    </w:rPr>
  </w:style>
  <w:style w:type="character" w:styleId="Accentuation">
    <w:name w:val="Emphasis"/>
    <w:uiPriority w:val="20"/>
    <w:qFormat/>
    <w:rsid w:val="00064035"/>
    <w:rPr>
      <w:i/>
      <w:iCs/>
    </w:rPr>
  </w:style>
  <w:style w:type="paragraph" w:styleId="En-tte">
    <w:name w:val="header"/>
    <w:basedOn w:val="Normal"/>
    <w:link w:val="En-tteCar"/>
    <w:rsid w:val="00064035"/>
    <w:pPr>
      <w:tabs>
        <w:tab w:val="center" w:pos="4536"/>
        <w:tab w:val="right" w:pos="9072"/>
      </w:tabs>
    </w:pPr>
  </w:style>
  <w:style w:type="character" w:customStyle="1" w:styleId="En-tteCar">
    <w:name w:val="En-tête Car"/>
    <w:basedOn w:val="Policepardfaut"/>
    <w:link w:val="En-tte"/>
    <w:rsid w:val="00064035"/>
    <w:rPr>
      <w:rFonts w:ascii="Times New Roman" w:eastAsia="Times New Roman" w:hAnsi="Times New Roman" w:cs="Times New Roman"/>
      <w:sz w:val="24"/>
      <w:szCs w:val="24"/>
      <w:lang w:val="nl-BE" w:eastAsia="nl-BE"/>
    </w:rPr>
  </w:style>
  <w:style w:type="paragraph" w:styleId="Pieddepage">
    <w:name w:val="footer"/>
    <w:basedOn w:val="Normal"/>
    <w:link w:val="PieddepageCar"/>
    <w:uiPriority w:val="99"/>
    <w:rsid w:val="00064035"/>
    <w:pPr>
      <w:tabs>
        <w:tab w:val="center" w:pos="4536"/>
        <w:tab w:val="right" w:pos="9072"/>
      </w:tabs>
    </w:pPr>
  </w:style>
  <w:style w:type="character" w:customStyle="1" w:styleId="PieddepageCar">
    <w:name w:val="Pied de page Car"/>
    <w:basedOn w:val="Policepardfaut"/>
    <w:link w:val="Pieddepage"/>
    <w:uiPriority w:val="99"/>
    <w:rsid w:val="00064035"/>
    <w:rPr>
      <w:rFonts w:ascii="Times New Roman" w:eastAsia="Times New Roman" w:hAnsi="Times New Roman" w:cs="Times New Roman"/>
      <w:sz w:val="24"/>
      <w:szCs w:val="24"/>
      <w:lang w:val="nl-BE" w:eastAsia="nl-BE"/>
    </w:rPr>
  </w:style>
  <w:style w:type="paragraph" w:styleId="Paragraphedeliste">
    <w:name w:val="List Paragraph"/>
    <w:basedOn w:val="Normal"/>
    <w:uiPriority w:val="34"/>
    <w:qFormat/>
    <w:rsid w:val="00064035"/>
    <w:pPr>
      <w:ind w:left="720"/>
      <w:contextualSpacing/>
    </w:pPr>
  </w:style>
  <w:style w:type="character" w:customStyle="1" w:styleId="st">
    <w:name w:val="st"/>
    <w:basedOn w:val="Policepardfaut"/>
    <w:rsid w:val="00064035"/>
  </w:style>
  <w:style w:type="character" w:styleId="Marquedecommentaire">
    <w:name w:val="annotation reference"/>
    <w:basedOn w:val="Policepardfaut"/>
    <w:uiPriority w:val="99"/>
    <w:rsid w:val="00064035"/>
    <w:rPr>
      <w:sz w:val="16"/>
      <w:szCs w:val="16"/>
    </w:rPr>
  </w:style>
  <w:style w:type="paragraph" w:styleId="Commentaire">
    <w:name w:val="annotation text"/>
    <w:basedOn w:val="Normal"/>
    <w:link w:val="CommentaireCar"/>
    <w:rsid w:val="00064035"/>
    <w:rPr>
      <w:sz w:val="20"/>
      <w:szCs w:val="20"/>
    </w:rPr>
  </w:style>
  <w:style w:type="character" w:customStyle="1" w:styleId="CommentaireCar">
    <w:name w:val="Commentaire Car"/>
    <w:basedOn w:val="Policepardfaut"/>
    <w:link w:val="Commentaire"/>
    <w:rsid w:val="00064035"/>
    <w:rPr>
      <w:rFonts w:ascii="Times New Roman" w:eastAsia="Times New Roman" w:hAnsi="Times New Roman" w:cs="Times New Roman"/>
      <w:sz w:val="20"/>
      <w:szCs w:val="20"/>
      <w:lang w:val="nl-BE" w:eastAsia="nl-BE"/>
    </w:rPr>
  </w:style>
  <w:style w:type="character" w:customStyle="1" w:styleId="act-nat">
    <w:name w:val="act-nat"/>
    <w:basedOn w:val="Policepardfaut"/>
    <w:rsid w:val="00064035"/>
  </w:style>
  <w:style w:type="character" w:customStyle="1" w:styleId="mod-beg-end">
    <w:name w:val="mod-beg-end"/>
    <w:basedOn w:val="Policepardfaut"/>
    <w:rsid w:val="00064035"/>
  </w:style>
  <w:style w:type="character" w:customStyle="1" w:styleId="ref-pub">
    <w:name w:val="ref-pub"/>
    <w:basedOn w:val="Policepardfaut"/>
    <w:rsid w:val="00064035"/>
  </w:style>
  <w:style w:type="paragraph" w:styleId="Textedebulles">
    <w:name w:val="Balloon Text"/>
    <w:basedOn w:val="Normal"/>
    <w:link w:val="TextedebullesCar"/>
    <w:uiPriority w:val="99"/>
    <w:semiHidden/>
    <w:unhideWhenUsed/>
    <w:rsid w:val="00064035"/>
    <w:rPr>
      <w:rFonts w:ascii="Tahoma" w:hAnsi="Tahoma" w:cs="Tahoma"/>
      <w:sz w:val="16"/>
      <w:szCs w:val="16"/>
    </w:rPr>
  </w:style>
  <w:style w:type="character" w:customStyle="1" w:styleId="TextedebullesCar">
    <w:name w:val="Texte de bulles Car"/>
    <w:basedOn w:val="Policepardfaut"/>
    <w:link w:val="Textedebulles"/>
    <w:uiPriority w:val="99"/>
    <w:semiHidden/>
    <w:rsid w:val="00064035"/>
    <w:rPr>
      <w:rFonts w:ascii="Tahoma" w:eastAsia="Times New Roman" w:hAnsi="Tahoma" w:cs="Tahoma"/>
      <w:sz w:val="16"/>
      <w:szCs w:val="16"/>
      <w:lang w:val="nl-BE" w:eastAsia="nl-BE"/>
    </w:rPr>
  </w:style>
  <w:style w:type="character" w:customStyle="1" w:styleId="Titre2Car">
    <w:name w:val="Titre 2 Car"/>
    <w:basedOn w:val="Policepardfaut"/>
    <w:link w:val="Titre2"/>
    <w:uiPriority w:val="9"/>
    <w:rsid w:val="005B6726"/>
    <w:rPr>
      <w:rFonts w:eastAsiaTheme="majorEastAsia" w:cstheme="majorBidi"/>
      <w:b/>
      <w:bCs/>
      <w:smallCaps/>
      <w:sz w:val="24"/>
      <w:szCs w:val="24"/>
      <w:u w:val="single"/>
      <w:lang w:val="nl-BE" w:eastAsia="nl-BE"/>
    </w:rPr>
  </w:style>
  <w:style w:type="character" w:customStyle="1" w:styleId="Titre3Car">
    <w:name w:val="Titre 3 Car"/>
    <w:basedOn w:val="Policepardfaut"/>
    <w:link w:val="Titre3"/>
    <w:uiPriority w:val="9"/>
    <w:rsid w:val="00FF4760"/>
    <w:rPr>
      <w:rFonts w:asciiTheme="majorHAnsi" w:eastAsiaTheme="majorEastAsia" w:hAnsiTheme="majorHAnsi" w:cstheme="majorBidi"/>
      <w:b/>
      <w:bCs/>
      <w:color w:val="4F81BD" w:themeColor="accent1"/>
      <w:sz w:val="24"/>
      <w:szCs w:val="24"/>
      <w:lang w:val="nl-BE" w:eastAsia="nl-BE"/>
    </w:rPr>
  </w:style>
  <w:style w:type="character" w:styleId="Lienhypertextesuivivisit">
    <w:name w:val="FollowedHyperlink"/>
    <w:basedOn w:val="Policepardfaut"/>
    <w:uiPriority w:val="99"/>
    <w:semiHidden/>
    <w:unhideWhenUsed/>
    <w:rsid w:val="000A3FD3"/>
    <w:rPr>
      <w:color w:val="800080" w:themeColor="followedHyperlink"/>
      <w:u w:val="single"/>
    </w:rPr>
  </w:style>
  <w:style w:type="paragraph" w:styleId="Sansinterligne">
    <w:name w:val="No Spacing"/>
    <w:uiPriority w:val="1"/>
    <w:qFormat/>
    <w:rsid w:val="0073196D"/>
    <w:pPr>
      <w:spacing w:after="0"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84292"/>
    <w:rPr>
      <w:rFonts w:eastAsiaTheme="majorEastAsia" w:cstheme="majorBidi"/>
      <w:b/>
      <w:bCs/>
      <w:caps/>
      <w:sz w:val="24"/>
      <w:szCs w:val="28"/>
      <w:u w:val="single"/>
      <w:lang w:val="nl-BE" w:eastAsia="nl-BE"/>
    </w:rPr>
  </w:style>
  <w:style w:type="paragraph" w:styleId="Objetducommentaire">
    <w:name w:val="annotation subject"/>
    <w:basedOn w:val="Commentaire"/>
    <w:next w:val="Commentaire"/>
    <w:link w:val="ObjetducommentaireCar"/>
    <w:uiPriority w:val="99"/>
    <w:semiHidden/>
    <w:unhideWhenUsed/>
    <w:rsid w:val="00933752"/>
    <w:rPr>
      <w:b/>
      <w:bCs/>
    </w:rPr>
  </w:style>
  <w:style w:type="character" w:customStyle="1" w:styleId="ObjetducommentaireCar">
    <w:name w:val="Objet du commentaire Car"/>
    <w:basedOn w:val="CommentaireCar"/>
    <w:link w:val="Objetducommentaire"/>
    <w:uiPriority w:val="99"/>
    <w:semiHidden/>
    <w:rsid w:val="00933752"/>
    <w:rPr>
      <w:rFonts w:ascii="Calibri" w:eastAsia="Times New Roman" w:hAnsi="Calibri" w:cs="Times New Roman"/>
      <w:b/>
      <w:bCs/>
      <w:sz w:val="20"/>
      <w:szCs w:val="20"/>
      <w:lang w:val="nl-BE" w:eastAsia="nl-BE"/>
    </w:rPr>
  </w:style>
  <w:style w:type="paragraph" w:styleId="En-ttedetabledesmatires">
    <w:name w:val="TOC Heading"/>
    <w:basedOn w:val="Titre1"/>
    <w:next w:val="Normal"/>
    <w:uiPriority w:val="39"/>
    <w:unhideWhenUsed/>
    <w:qFormat/>
    <w:rsid w:val="008229A0"/>
    <w:pPr>
      <w:numPr>
        <w:numId w:val="0"/>
      </w:numPr>
      <w:spacing w:line="276" w:lineRule="auto"/>
      <w:jc w:val="left"/>
      <w:outlineLvl w:val="9"/>
    </w:pPr>
    <w:rPr>
      <w:rFonts w:asciiTheme="majorHAnsi" w:hAnsiTheme="majorHAnsi"/>
      <w:caps w:val="0"/>
      <w:color w:val="365F91" w:themeColor="accent1" w:themeShade="BF"/>
      <w:sz w:val="28"/>
      <w:u w:val="none"/>
    </w:rPr>
  </w:style>
  <w:style w:type="paragraph" w:styleId="TM1">
    <w:name w:val="toc 1"/>
    <w:basedOn w:val="Normal"/>
    <w:next w:val="Normal"/>
    <w:autoRedefine/>
    <w:uiPriority w:val="39"/>
    <w:unhideWhenUsed/>
    <w:rsid w:val="00C849B9"/>
    <w:pPr>
      <w:tabs>
        <w:tab w:val="left" w:pos="440"/>
        <w:tab w:val="right" w:leader="dot" w:pos="9062"/>
      </w:tabs>
      <w:spacing w:after="100"/>
    </w:pPr>
    <w:rPr>
      <w:noProof/>
      <w:color w:val="FF0000"/>
    </w:rPr>
  </w:style>
  <w:style w:type="paragraph" w:styleId="TM2">
    <w:name w:val="toc 2"/>
    <w:basedOn w:val="Normal"/>
    <w:next w:val="Normal"/>
    <w:autoRedefine/>
    <w:uiPriority w:val="39"/>
    <w:unhideWhenUsed/>
    <w:rsid w:val="008229A0"/>
    <w:pPr>
      <w:spacing w:after="100"/>
      <w:ind w:left="240"/>
    </w:pPr>
  </w:style>
  <w:style w:type="table" w:styleId="Grilledutableau">
    <w:name w:val="Table Grid"/>
    <w:basedOn w:val="TableauNormal"/>
    <w:uiPriority w:val="59"/>
    <w:rsid w:val="001C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5325E"/>
    <w:rPr>
      <w:b/>
      <w:bCs/>
    </w:rPr>
  </w:style>
  <w:style w:type="character" w:customStyle="1" w:styleId="apple-converted-space">
    <w:name w:val="apple-converted-space"/>
    <w:basedOn w:val="Policepardfaut"/>
    <w:rsid w:val="00353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A7"/>
    <w:pPr>
      <w:spacing w:after="0" w:line="240" w:lineRule="auto"/>
      <w:jc w:val="both"/>
    </w:pPr>
    <w:rPr>
      <w:rFonts w:ascii="Calibri" w:eastAsia="Times New Roman" w:hAnsi="Calibri" w:cs="Times New Roman"/>
      <w:sz w:val="24"/>
      <w:szCs w:val="24"/>
    </w:rPr>
  </w:style>
  <w:style w:type="paragraph" w:styleId="Titre1">
    <w:name w:val="heading 1"/>
    <w:basedOn w:val="Normal"/>
    <w:next w:val="Normal"/>
    <w:link w:val="Titre1Car"/>
    <w:uiPriority w:val="9"/>
    <w:qFormat/>
    <w:rsid w:val="00984292"/>
    <w:pPr>
      <w:keepNext/>
      <w:keepLines/>
      <w:numPr>
        <w:numId w:val="11"/>
      </w:numPr>
      <w:spacing w:before="480"/>
      <w:outlineLvl w:val="0"/>
    </w:pPr>
    <w:rPr>
      <w:rFonts w:asciiTheme="minorHAnsi" w:eastAsiaTheme="majorEastAsia" w:hAnsiTheme="minorHAnsi" w:cstheme="majorBidi"/>
      <w:b/>
      <w:bCs/>
      <w:caps/>
      <w:szCs w:val="28"/>
      <w:u w:val="single"/>
    </w:rPr>
  </w:style>
  <w:style w:type="paragraph" w:styleId="Titre2">
    <w:name w:val="heading 2"/>
    <w:basedOn w:val="Normal"/>
    <w:next w:val="Normal"/>
    <w:link w:val="Titre2Car"/>
    <w:uiPriority w:val="9"/>
    <w:unhideWhenUsed/>
    <w:qFormat/>
    <w:rsid w:val="005B6726"/>
    <w:pPr>
      <w:keepNext/>
      <w:keepLines/>
      <w:numPr>
        <w:ilvl w:val="1"/>
        <w:numId w:val="11"/>
      </w:numPr>
      <w:tabs>
        <w:tab w:val="left" w:pos="993"/>
      </w:tabs>
      <w:spacing w:before="200"/>
      <w:outlineLvl w:val="1"/>
    </w:pPr>
    <w:rPr>
      <w:rFonts w:asciiTheme="minorHAnsi" w:eastAsiaTheme="majorEastAsia" w:hAnsiTheme="minorHAnsi" w:cstheme="majorBidi"/>
      <w:b/>
      <w:bCs/>
      <w:smallCaps/>
      <w:u w:val="single"/>
    </w:rPr>
  </w:style>
  <w:style w:type="paragraph" w:styleId="Titre3">
    <w:name w:val="heading 3"/>
    <w:basedOn w:val="Normal"/>
    <w:next w:val="Normal"/>
    <w:link w:val="Titre3Car"/>
    <w:uiPriority w:val="9"/>
    <w:unhideWhenUsed/>
    <w:qFormat/>
    <w:rsid w:val="00FF476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064035"/>
    <w:rPr>
      <w:color w:val="0000FF"/>
      <w:u w:val="single"/>
    </w:rPr>
  </w:style>
  <w:style w:type="paragraph" w:styleId="Notedebasdepage">
    <w:name w:val="footnote text"/>
    <w:basedOn w:val="Normal"/>
    <w:link w:val="NotedebasdepageCar"/>
    <w:semiHidden/>
    <w:rsid w:val="00064035"/>
    <w:rPr>
      <w:sz w:val="20"/>
      <w:szCs w:val="20"/>
    </w:rPr>
  </w:style>
  <w:style w:type="character" w:customStyle="1" w:styleId="NotedebasdepageCar">
    <w:name w:val="Note de bas de page Car"/>
    <w:basedOn w:val="Policepardfaut"/>
    <w:link w:val="Notedebasdepage"/>
    <w:semiHidden/>
    <w:rsid w:val="00064035"/>
    <w:rPr>
      <w:rFonts w:ascii="Times New Roman" w:eastAsia="Times New Roman" w:hAnsi="Times New Roman" w:cs="Times New Roman"/>
      <w:sz w:val="20"/>
      <w:szCs w:val="20"/>
      <w:lang w:val="nl-BE" w:eastAsia="nl-BE"/>
    </w:rPr>
  </w:style>
  <w:style w:type="character" w:styleId="Appelnotedebasdep">
    <w:name w:val="footnote reference"/>
    <w:semiHidden/>
    <w:rsid w:val="00064035"/>
    <w:rPr>
      <w:vertAlign w:val="superscript"/>
    </w:rPr>
  </w:style>
  <w:style w:type="character" w:styleId="Accentuation">
    <w:name w:val="Emphasis"/>
    <w:uiPriority w:val="20"/>
    <w:qFormat/>
    <w:rsid w:val="00064035"/>
    <w:rPr>
      <w:i/>
      <w:iCs/>
    </w:rPr>
  </w:style>
  <w:style w:type="paragraph" w:styleId="En-tte">
    <w:name w:val="header"/>
    <w:basedOn w:val="Normal"/>
    <w:link w:val="En-tteCar"/>
    <w:rsid w:val="00064035"/>
    <w:pPr>
      <w:tabs>
        <w:tab w:val="center" w:pos="4536"/>
        <w:tab w:val="right" w:pos="9072"/>
      </w:tabs>
    </w:pPr>
  </w:style>
  <w:style w:type="character" w:customStyle="1" w:styleId="En-tteCar">
    <w:name w:val="En-tête Car"/>
    <w:basedOn w:val="Policepardfaut"/>
    <w:link w:val="En-tte"/>
    <w:rsid w:val="00064035"/>
    <w:rPr>
      <w:rFonts w:ascii="Times New Roman" w:eastAsia="Times New Roman" w:hAnsi="Times New Roman" w:cs="Times New Roman"/>
      <w:sz w:val="24"/>
      <w:szCs w:val="24"/>
      <w:lang w:val="nl-BE" w:eastAsia="nl-BE"/>
    </w:rPr>
  </w:style>
  <w:style w:type="paragraph" w:styleId="Pieddepage">
    <w:name w:val="footer"/>
    <w:basedOn w:val="Normal"/>
    <w:link w:val="PieddepageCar"/>
    <w:uiPriority w:val="99"/>
    <w:rsid w:val="00064035"/>
    <w:pPr>
      <w:tabs>
        <w:tab w:val="center" w:pos="4536"/>
        <w:tab w:val="right" w:pos="9072"/>
      </w:tabs>
    </w:pPr>
  </w:style>
  <w:style w:type="character" w:customStyle="1" w:styleId="PieddepageCar">
    <w:name w:val="Pied de page Car"/>
    <w:basedOn w:val="Policepardfaut"/>
    <w:link w:val="Pieddepage"/>
    <w:uiPriority w:val="99"/>
    <w:rsid w:val="00064035"/>
    <w:rPr>
      <w:rFonts w:ascii="Times New Roman" w:eastAsia="Times New Roman" w:hAnsi="Times New Roman" w:cs="Times New Roman"/>
      <w:sz w:val="24"/>
      <w:szCs w:val="24"/>
      <w:lang w:val="nl-BE" w:eastAsia="nl-BE"/>
    </w:rPr>
  </w:style>
  <w:style w:type="paragraph" w:styleId="Paragraphedeliste">
    <w:name w:val="List Paragraph"/>
    <w:basedOn w:val="Normal"/>
    <w:uiPriority w:val="34"/>
    <w:qFormat/>
    <w:rsid w:val="00064035"/>
    <w:pPr>
      <w:ind w:left="720"/>
      <w:contextualSpacing/>
    </w:pPr>
  </w:style>
  <w:style w:type="character" w:customStyle="1" w:styleId="st">
    <w:name w:val="st"/>
    <w:basedOn w:val="Policepardfaut"/>
    <w:rsid w:val="00064035"/>
  </w:style>
  <w:style w:type="character" w:styleId="Marquedecommentaire">
    <w:name w:val="annotation reference"/>
    <w:basedOn w:val="Policepardfaut"/>
    <w:uiPriority w:val="99"/>
    <w:rsid w:val="00064035"/>
    <w:rPr>
      <w:sz w:val="16"/>
      <w:szCs w:val="16"/>
    </w:rPr>
  </w:style>
  <w:style w:type="paragraph" w:styleId="Commentaire">
    <w:name w:val="annotation text"/>
    <w:basedOn w:val="Normal"/>
    <w:link w:val="CommentaireCar"/>
    <w:rsid w:val="00064035"/>
    <w:rPr>
      <w:sz w:val="20"/>
      <w:szCs w:val="20"/>
    </w:rPr>
  </w:style>
  <w:style w:type="character" w:customStyle="1" w:styleId="CommentaireCar">
    <w:name w:val="Commentaire Car"/>
    <w:basedOn w:val="Policepardfaut"/>
    <w:link w:val="Commentaire"/>
    <w:rsid w:val="00064035"/>
    <w:rPr>
      <w:rFonts w:ascii="Times New Roman" w:eastAsia="Times New Roman" w:hAnsi="Times New Roman" w:cs="Times New Roman"/>
      <w:sz w:val="20"/>
      <w:szCs w:val="20"/>
      <w:lang w:val="nl-BE" w:eastAsia="nl-BE"/>
    </w:rPr>
  </w:style>
  <w:style w:type="character" w:customStyle="1" w:styleId="act-nat">
    <w:name w:val="act-nat"/>
    <w:basedOn w:val="Policepardfaut"/>
    <w:rsid w:val="00064035"/>
  </w:style>
  <w:style w:type="character" w:customStyle="1" w:styleId="mod-beg-end">
    <w:name w:val="mod-beg-end"/>
    <w:basedOn w:val="Policepardfaut"/>
    <w:rsid w:val="00064035"/>
  </w:style>
  <w:style w:type="character" w:customStyle="1" w:styleId="ref-pub">
    <w:name w:val="ref-pub"/>
    <w:basedOn w:val="Policepardfaut"/>
    <w:rsid w:val="00064035"/>
  </w:style>
  <w:style w:type="paragraph" w:styleId="Textedebulles">
    <w:name w:val="Balloon Text"/>
    <w:basedOn w:val="Normal"/>
    <w:link w:val="TextedebullesCar"/>
    <w:uiPriority w:val="99"/>
    <w:semiHidden/>
    <w:unhideWhenUsed/>
    <w:rsid w:val="00064035"/>
    <w:rPr>
      <w:rFonts w:ascii="Tahoma" w:hAnsi="Tahoma" w:cs="Tahoma"/>
      <w:sz w:val="16"/>
      <w:szCs w:val="16"/>
    </w:rPr>
  </w:style>
  <w:style w:type="character" w:customStyle="1" w:styleId="TextedebullesCar">
    <w:name w:val="Texte de bulles Car"/>
    <w:basedOn w:val="Policepardfaut"/>
    <w:link w:val="Textedebulles"/>
    <w:uiPriority w:val="99"/>
    <w:semiHidden/>
    <w:rsid w:val="00064035"/>
    <w:rPr>
      <w:rFonts w:ascii="Tahoma" w:eastAsia="Times New Roman" w:hAnsi="Tahoma" w:cs="Tahoma"/>
      <w:sz w:val="16"/>
      <w:szCs w:val="16"/>
      <w:lang w:val="nl-BE" w:eastAsia="nl-BE"/>
    </w:rPr>
  </w:style>
  <w:style w:type="character" w:customStyle="1" w:styleId="Titre2Car">
    <w:name w:val="Titre 2 Car"/>
    <w:basedOn w:val="Policepardfaut"/>
    <w:link w:val="Titre2"/>
    <w:uiPriority w:val="9"/>
    <w:rsid w:val="005B6726"/>
    <w:rPr>
      <w:rFonts w:eastAsiaTheme="majorEastAsia" w:cstheme="majorBidi"/>
      <w:b/>
      <w:bCs/>
      <w:smallCaps/>
      <w:sz w:val="24"/>
      <w:szCs w:val="24"/>
      <w:u w:val="single"/>
      <w:lang w:val="nl-BE" w:eastAsia="nl-BE"/>
    </w:rPr>
  </w:style>
  <w:style w:type="character" w:customStyle="1" w:styleId="Titre3Car">
    <w:name w:val="Titre 3 Car"/>
    <w:basedOn w:val="Policepardfaut"/>
    <w:link w:val="Titre3"/>
    <w:uiPriority w:val="9"/>
    <w:rsid w:val="00FF4760"/>
    <w:rPr>
      <w:rFonts w:asciiTheme="majorHAnsi" w:eastAsiaTheme="majorEastAsia" w:hAnsiTheme="majorHAnsi" w:cstheme="majorBidi"/>
      <w:b/>
      <w:bCs/>
      <w:color w:val="4F81BD" w:themeColor="accent1"/>
      <w:sz w:val="24"/>
      <w:szCs w:val="24"/>
      <w:lang w:val="nl-BE" w:eastAsia="nl-BE"/>
    </w:rPr>
  </w:style>
  <w:style w:type="character" w:styleId="Lienhypertextesuivivisit">
    <w:name w:val="FollowedHyperlink"/>
    <w:basedOn w:val="Policepardfaut"/>
    <w:uiPriority w:val="99"/>
    <w:semiHidden/>
    <w:unhideWhenUsed/>
    <w:rsid w:val="000A3FD3"/>
    <w:rPr>
      <w:color w:val="800080" w:themeColor="followedHyperlink"/>
      <w:u w:val="single"/>
    </w:rPr>
  </w:style>
  <w:style w:type="paragraph" w:styleId="Sansinterligne">
    <w:name w:val="No Spacing"/>
    <w:uiPriority w:val="1"/>
    <w:qFormat/>
    <w:rsid w:val="0073196D"/>
    <w:pPr>
      <w:spacing w:after="0"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84292"/>
    <w:rPr>
      <w:rFonts w:eastAsiaTheme="majorEastAsia" w:cstheme="majorBidi"/>
      <w:b/>
      <w:bCs/>
      <w:caps/>
      <w:sz w:val="24"/>
      <w:szCs w:val="28"/>
      <w:u w:val="single"/>
      <w:lang w:val="nl-BE" w:eastAsia="nl-BE"/>
    </w:rPr>
  </w:style>
  <w:style w:type="paragraph" w:styleId="Objetducommentaire">
    <w:name w:val="annotation subject"/>
    <w:basedOn w:val="Commentaire"/>
    <w:next w:val="Commentaire"/>
    <w:link w:val="ObjetducommentaireCar"/>
    <w:uiPriority w:val="99"/>
    <w:semiHidden/>
    <w:unhideWhenUsed/>
    <w:rsid w:val="00933752"/>
    <w:rPr>
      <w:b/>
      <w:bCs/>
    </w:rPr>
  </w:style>
  <w:style w:type="character" w:customStyle="1" w:styleId="ObjetducommentaireCar">
    <w:name w:val="Objet du commentaire Car"/>
    <w:basedOn w:val="CommentaireCar"/>
    <w:link w:val="Objetducommentaire"/>
    <w:uiPriority w:val="99"/>
    <w:semiHidden/>
    <w:rsid w:val="00933752"/>
    <w:rPr>
      <w:rFonts w:ascii="Calibri" w:eastAsia="Times New Roman" w:hAnsi="Calibri" w:cs="Times New Roman"/>
      <w:b/>
      <w:bCs/>
      <w:sz w:val="20"/>
      <w:szCs w:val="20"/>
      <w:lang w:val="nl-BE" w:eastAsia="nl-BE"/>
    </w:rPr>
  </w:style>
  <w:style w:type="paragraph" w:styleId="En-ttedetabledesmatires">
    <w:name w:val="TOC Heading"/>
    <w:basedOn w:val="Titre1"/>
    <w:next w:val="Normal"/>
    <w:uiPriority w:val="39"/>
    <w:unhideWhenUsed/>
    <w:qFormat/>
    <w:rsid w:val="008229A0"/>
    <w:pPr>
      <w:numPr>
        <w:numId w:val="0"/>
      </w:numPr>
      <w:spacing w:line="276" w:lineRule="auto"/>
      <w:jc w:val="left"/>
      <w:outlineLvl w:val="9"/>
    </w:pPr>
    <w:rPr>
      <w:rFonts w:asciiTheme="majorHAnsi" w:hAnsiTheme="majorHAnsi"/>
      <w:caps w:val="0"/>
      <w:color w:val="365F91" w:themeColor="accent1" w:themeShade="BF"/>
      <w:sz w:val="28"/>
      <w:u w:val="none"/>
    </w:rPr>
  </w:style>
  <w:style w:type="paragraph" w:styleId="TM1">
    <w:name w:val="toc 1"/>
    <w:basedOn w:val="Normal"/>
    <w:next w:val="Normal"/>
    <w:autoRedefine/>
    <w:uiPriority w:val="39"/>
    <w:unhideWhenUsed/>
    <w:rsid w:val="00C849B9"/>
    <w:pPr>
      <w:tabs>
        <w:tab w:val="left" w:pos="440"/>
        <w:tab w:val="right" w:leader="dot" w:pos="9062"/>
      </w:tabs>
      <w:spacing w:after="100"/>
    </w:pPr>
    <w:rPr>
      <w:noProof/>
      <w:color w:val="FF0000"/>
    </w:rPr>
  </w:style>
  <w:style w:type="paragraph" w:styleId="TM2">
    <w:name w:val="toc 2"/>
    <w:basedOn w:val="Normal"/>
    <w:next w:val="Normal"/>
    <w:autoRedefine/>
    <w:uiPriority w:val="39"/>
    <w:unhideWhenUsed/>
    <w:rsid w:val="008229A0"/>
    <w:pPr>
      <w:spacing w:after="100"/>
      <w:ind w:left="240"/>
    </w:pPr>
  </w:style>
  <w:style w:type="table" w:styleId="Grilledutableau">
    <w:name w:val="Table Grid"/>
    <w:basedOn w:val="TableauNormal"/>
    <w:uiPriority w:val="59"/>
    <w:rsid w:val="001C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5325E"/>
    <w:rPr>
      <w:b/>
      <w:bCs/>
    </w:rPr>
  </w:style>
  <w:style w:type="character" w:customStyle="1" w:styleId="apple-converted-space">
    <w:name w:val="apple-converted-space"/>
    <w:basedOn w:val="Policepardfaut"/>
    <w:rsid w:val="0035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9679">
      <w:bodyDiv w:val="1"/>
      <w:marLeft w:val="0"/>
      <w:marRight w:val="0"/>
      <w:marTop w:val="0"/>
      <w:marBottom w:val="0"/>
      <w:divBdr>
        <w:top w:val="none" w:sz="0" w:space="0" w:color="auto"/>
        <w:left w:val="none" w:sz="0" w:space="0" w:color="auto"/>
        <w:bottom w:val="none" w:sz="0" w:space="0" w:color="auto"/>
        <w:right w:val="none" w:sz="0" w:space="0" w:color="auto"/>
      </w:divBdr>
    </w:div>
    <w:div w:id="969475704">
      <w:bodyDiv w:val="1"/>
      <w:marLeft w:val="0"/>
      <w:marRight w:val="0"/>
      <w:marTop w:val="0"/>
      <w:marBottom w:val="0"/>
      <w:divBdr>
        <w:top w:val="none" w:sz="0" w:space="0" w:color="auto"/>
        <w:left w:val="none" w:sz="0" w:space="0" w:color="auto"/>
        <w:bottom w:val="none" w:sz="0" w:space="0" w:color="auto"/>
        <w:right w:val="none" w:sz="0" w:space="0" w:color="auto"/>
      </w:divBdr>
    </w:div>
    <w:div w:id="1033841584">
      <w:bodyDiv w:val="1"/>
      <w:marLeft w:val="0"/>
      <w:marRight w:val="0"/>
      <w:marTop w:val="0"/>
      <w:marBottom w:val="0"/>
      <w:divBdr>
        <w:top w:val="none" w:sz="0" w:space="0" w:color="auto"/>
        <w:left w:val="none" w:sz="0" w:space="0" w:color="auto"/>
        <w:bottom w:val="none" w:sz="0" w:space="0" w:color="auto"/>
        <w:right w:val="none" w:sz="0" w:space="0" w:color="auto"/>
      </w:divBdr>
    </w:div>
    <w:div w:id="1390227349">
      <w:bodyDiv w:val="1"/>
      <w:marLeft w:val="0"/>
      <w:marRight w:val="0"/>
      <w:marTop w:val="0"/>
      <w:marBottom w:val="0"/>
      <w:divBdr>
        <w:top w:val="none" w:sz="0" w:space="0" w:color="auto"/>
        <w:left w:val="none" w:sz="0" w:space="0" w:color="auto"/>
        <w:bottom w:val="none" w:sz="0" w:space="0" w:color="auto"/>
        <w:right w:val="none" w:sz="0" w:space="0" w:color="auto"/>
      </w:divBdr>
    </w:div>
    <w:div w:id="18515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justice.just.fgov.be/cgi_loi/change_lg.pl?language=nl&amp;la=N&amp;cn=2008090431&amp;table_name=w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justice.just.fgov.be/cgi_loi/change_lg.pl?language=nl&amp;la=N&amp;cn=2008090434&amp;table_name=we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justice.just.fgov.be/cgi_loi/change_lg.pl?language=nl&amp;la=N&amp;cn=2008090432&amp;table_name=wet"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weblex.irisnet.be/data/crb/cri/2007-08/00035/images.pdf" TargetMode="External"/><Relationship Id="rId2" Type="http://schemas.openxmlformats.org/officeDocument/2006/relationships/hyperlink" Target="http://www.weblex.irisnet.be/data/crb/cri/2007-08/00034/images.pdf" TargetMode="External"/><Relationship Id="rId1" Type="http://schemas.openxmlformats.org/officeDocument/2006/relationships/hyperlink" Target="http://www.unia.be/nl/wetgeving-aanbevelingen/aanbevelingen-van-unia/gelijke-behandeling-op-de-particuliere-huurmarkt-in-het-brusselse-hoofdstedelijke-gewest-na-de-zesde-staatshervorming" TargetMode="External"/><Relationship Id="rId5" Type="http://schemas.openxmlformats.org/officeDocument/2006/relationships/hyperlink" Target="http://weblex.irisnet.be/data/crb/doc/2016-17/131771/images.pdf" TargetMode="External"/><Relationship Id="rId4" Type="http://schemas.openxmlformats.org/officeDocument/2006/relationships/hyperlink" Target="http://www.unia.be/nl/wetgeving-aanbevelingen/aanbevelingen-van-unia/gelijke-behandeling-op-de-particuliere-huurmarkt-in-het-brusselse-hoofdstedelijke-gewest-na-de-zesde-staatshervor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ype_x0020_Doc xmlns="454cf531-3357-463c-b643-2421b5f48de6">AAR validé</Type_x0020_Doc>
    <Destinataire xmlns="454cf531-3357-463c-b643-2421b5f48de6">
      <Value>66</Value>
      <Value>53</Value>
      <Value>7</Value>
    </Destinataire>
    <action xmlns="454cf531-3357-463c-b643-2421b5f48de6">2017 03 30 Recommandation envoyée </action>
    <Ref_x0020_NEW xmlns="454cf531-3357-463c-b643-2421b5f48de6">
      <Value>178</Value>
    </Ref_x0020_N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10A31B1286749B5DF3BD063B3C83F" ma:contentTypeVersion="13" ma:contentTypeDescription="Create a new document." ma:contentTypeScope="" ma:versionID="cae77f0550f2ee812374b75216e4ac36">
  <xsd:schema xmlns:xsd="http://www.w3.org/2001/XMLSchema" xmlns:xs="http://www.w3.org/2001/XMLSchema" xmlns:p="http://schemas.microsoft.com/office/2006/metadata/properties" xmlns:ns1="454cf531-3357-463c-b643-2421b5f48de6" xmlns:ns3="82003cb8-8c60-4fb7-a7cd-d2569735e56c" targetNamespace="http://schemas.microsoft.com/office/2006/metadata/properties" ma:root="true" ma:fieldsID="41d1c4ab38ba731c3cea45f467c9c3d8" ns1:_="" ns3:_="">
    <xsd:import namespace="454cf531-3357-463c-b643-2421b5f48de6"/>
    <xsd:import namespace="82003cb8-8c60-4fb7-a7cd-d2569735e56c"/>
    <xsd:element name="properties">
      <xsd:complexType>
        <xsd:sequence>
          <xsd:element name="documentManagement">
            <xsd:complexType>
              <xsd:all>
                <xsd:element ref="ns1:Type_x0020_Doc" minOccurs="0"/>
                <xsd:element ref="ns1:Ref_x0020_NEW" minOccurs="0"/>
                <xsd:element ref="ns1:Destinataire" minOccurs="0"/>
                <xsd:element ref="ns1:action"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cf531-3357-463c-b643-2421b5f48de6" elementFormDefault="qualified">
    <xsd:import namespace="http://schemas.microsoft.com/office/2006/documentManagement/types"/>
    <xsd:import namespace="http://schemas.microsoft.com/office/infopath/2007/PartnerControls"/>
    <xsd:element name="Type_x0020_Doc" ma:index="0" nillable="true" ma:displayName="Type Doc" ma:format="Dropdown" ma:internalName="Type_x0020_Doc" ma:readOnly="false">
      <xsd:simpleType>
        <xsd:restriction base="dms:Choice">
          <xsd:enumeration value="AAR draft"/>
          <xsd:enumeration value="AAR validé"/>
          <xsd:enumeration value="Compil draft"/>
          <xsd:enumeration value="Compil validée"/>
          <xsd:enumeration value="Corresp out draft"/>
          <xsd:enumeration value="Corresp out envoyée"/>
          <xsd:enumeration value="Corresp in"/>
          <xsd:enumeration value="PV Meeting Verslag"/>
          <xsd:enumeration value="Varia"/>
        </xsd:restriction>
      </xsd:simpleType>
    </xsd:element>
    <xsd:element name="Ref_x0020_NEW" ma:index="3" nillable="true" ma:displayName="Ref" ma:list="{c744d371-0b35-43d1-aa1e-e92714cbe84e}" ma:internalName="Ref_x0020_NEW" ma:readOnly="false" ma:showField="ID">
      <xsd:complexType>
        <xsd:complexContent>
          <xsd:extension base="dms:MultiChoiceLookup">
            <xsd:sequence>
              <xsd:element name="Value" type="dms:Lookup" maxOccurs="unbounded" minOccurs="0" nillable="true"/>
            </xsd:sequence>
          </xsd:extension>
        </xsd:complexContent>
      </xsd:complexType>
    </xsd:element>
    <xsd:element name="Destinataire" ma:index="4" nillable="true" ma:displayName="Destinataire" ma:list="{4d55bbfa-57ba-4e52-85ff-855201adc7f7}" ma:internalName="Destinatair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ction" ma:index="5" nillable="true" ma:displayName="Comment" ma:internalName="action" ma:readOnly="false">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03cb8-8c60-4fb7-a7cd-d2569735e56c"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D239-0CEA-4869-AD7C-45E5CBDD0E3D}">
  <ds:schemaRefs>
    <ds:schemaRef ds:uri="http://schemas.microsoft.com/sharepoint/v3/contenttype/forms"/>
  </ds:schemaRefs>
</ds:datastoreItem>
</file>

<file path=customXml/itemProps2.xml><?xml version="1.0" encoding="utf-8"?>
<ds:datastoreItem xmlns:ds="http://schemas.openxmlformats.org/officeDocument/2006/customXml" ds:itemID="{B2FB47DE-EEBB-4D7A-A851-6C42B66ABBBE}">
  <ds:schemaRefs>
    <ds:schemaRef ds:uri="ae7f61a3-22b2-4938-a80a-5aa4bb33e0bf"/>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B541500-FBED-42D4-B566-C39ACED716A4}"/>
</file>

<file path=customXml/itemProps4.xml><?xml version="1.0" encoding="utf-8"?>
<ds:datastoreItem xmlns:ds="http://schemas.openxmlformats.org/officeDocument/2006/customXml" ds:itemID="{BD855516-3CEE-4E5B-B95F-EB7B8E9997E4}">
  <ds:schemaRefs>
    <ds:schemaRef ds:uri="http://schemas.microsoft.com/office/2006/metadata/customXsn"/>
  </ds:schemaRefs>
</ds:datastoreItem>
</file>

<file path=customXml/itemProps5.xml><?xml version="1.0" encoding="utf-8"?>
<ds:datastoreItem xmlns:ds="http://schemas.openxmlformats.org/officeDocument/2006/customXml" ds:itemID="{DD311757-58F3-45CA-9E8D-F1B86470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1912</Words>
  <Characters>10520</Characters>
  <Application>Microsoft Office Word</Application>
  <DocSecurity>0</DocSecurity>
  <Lines>87</Lines>
  <Paragraphs>24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 Gebhard</dc:creator>
  <cp:lastModifiedBy>Bruno Martens</cp:lastModifiedBy>
  <cp:revision>14</cp:revision>
  <cp:lastPrinted>2017-03-01T15:48:00Z</cp:lastPrinted>
  <dcterms:created xsi:type="dcterms:W3CDTF">2017-03-13T11:15:00Z</dcterms:created>
  <dcterms:modified xsi:type="dcterms:W3CDTF">2017-04-07T10:03:00Z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0x0101008C310A31B1286749B5DF3BD063B3C83F</vt:lpwstr>
  </property>
  <property fmtid="{D5CDD505-2E9C-101B-9397-08002B2CF9AE}" pid="3" name="Order">
    <vt:r8>17100</vt:r8>
  </property>
  <property fmtid="{D5CDD505-2E9C-101B-9397-08002B2CF9AE}" pid="4" name="Language">
    <vt:lpwstr>;#FR;#</vt:lpwstr>
  </property>
  <property fmtid="{D5CDD505-2E9C-101B-9397-08002B2CF9AE}" pid="5" name="ref">
    <vt:lpwstr>14</vt:lpwstr>
  </property>
</Properties>
</file>