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95787" w14:textId="77777777" w:rsidR="00644F21" w:rsidRDefault="00644F21" w:rsidP="003D5FAA">
      <w:pPr>
        <w:jc w:val="center"/>
        <w:rPr>
          <w:rFonts w:asciiTheme="minorHAnsi" w:hAnsiTheme="minorHAnsi"/>
          <w:b/>
          <w:lang w:val="fr-BE"/>
        </w:rPr>
      </w:pPr>
    </w:p>
    <w:p w14:paraId="28080761" w14:textId="4BDF9857" w:rsidR="003D5FAA" w:rsidRPr="00906304" w:rsidRDefault="00E311F9" w:rsidP="003D5FAA">
      <w:pPr>
        <w:jc w:val="center"/>
        <w:rPr>
          <w:rFonts w:asciiTheme="minorHAnsi" w:hAnsiTheme="minorHAnsi"/>
          <w:b/>
          <w:sz w:val="28"/>
          <w:szCs w:val="28"/>
          <w:lang w:val="fr-BE"/>
        </w:rPr>
      </w:pPr>
      <w:r w:rsidRPr="00906304">
        <w:rPr>
          <w:rFonts w:asciiTheme="minorHAnsi" w:hAnsiTheme="minorHAnsi"/>
          <w:b/>
          <w:sz w:val="28"/>
          <w:szCs w:val="28"/>
          <w:lang w:val="fr-BE"/>
        </w:rPr>
        <w:t>Recommandation 178 du</w:t>
      </w:r>
      <w:r w:rsidR="003D5FAA" w:rsidRPr="00906304">
        <w:rPr>
          <w:rFonts w:asciiTheme="minorHAnsi" w:hAnsiTheme="minorHAnsi"/>
          <w:b/>
          <w:sz w:val="28"/>
          <w:szCs w:val="28"/>
          <w:lang w:val="fr-BE"/>
        </w:rPr>
        <w:t xml:space="preserve"> </w:t>
      </w:r>
      <w:r w:rsidR="009D60EA">
        <w:rPr>
          <w:rFonts w:asciiTheme="minorHAnsi" w:hAnsiTheme="minorHAnsi"/>
          <w:b/>
          <w:sz w:val="28"/>
          <w:szCs w:val="28"/>
          <w:lang w:val="fr-BE"/>
        </w:rPr>
        <w:t>31</w:t>
      </w:r>
      <w:r w:rsidR="00A351A7" w:rsidRPr="00906304">
        <w:rPr>
          <w:rFonts w:asciiTheme="minorHAnsi" w:hAnsiTheme="minorHAnsi"/>
          <w:b/>
          <w:sz w:val="28"/>
          <w:szCs w:val="28"/>
          <w:lang w:val="fr-BE"/>
        </w:rPr>
        <w:t>/3/2017</w:t>
      </w:r>
    </w:p>
    <w:p w14:paraId="00CE8929" w14:textId="77777777" w:rsidR="007A402A" w:rsidRDefault="007A402A" w:rsidP="007A402A">
      <w:pPr>
        <w:jc w:val="center"/>
        <w:rPr>
          <w:rFonts w:asciiTheme="minorHAnsi" w:hAnsiTheme="minorHAnsi"/>
          <w:b/>
          <w:caps/>
          <w:sz w:val="28"/>
          <w:szCs w:val="28"/>
          <w:lang w:val="fr-BE"/>
        </w:rPr>
      </w:pPr>
    </w:p>
    <w:p w14:paraId="44E34447" w14:textId="77777777" w:rsidR="00566CF7" w:rsidRDefault="00A351A7" w:rsidP="0056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28"/>
          <w:szCs w:val="28"/>
          <w:lang w:val="fr-BE"/>
        </w:rPr>
      </w:pPr>
      <w:r w:rsidRPr="00A351A7">
        <w:rPr>
          <w:rFonts w:asciiTheme="minorHAnsi" w:hAnsiTheme="minorHAnsi"/>
          <w:b/>
          <w:caps/>
          <w:sz w:val="28"/>
          <w:szCs w:val="28"/>
          <w:lang w:val="fr-BE"/>
        </w:rPr>
        <w:t>Pour une ordo</w:t>
      </w:r>
      <w:r w:rsidR="00566CF7">
        <w:rPr>
          <w:rFonts w:asciiTheme="minorHAnsi" w:hAnsiTheme="minorHAnsi"/>
          <w:b/>
          <w:caps/>
          <w:sz w:val="28"/>
          <w:szCs w:val="28"/>
          <w:lang w:val="fr-BE"/>
        </w:rPr>
        <w:t>nnance cadre antidiscrimination</w:t>
      </w:r>
    </w:p>
    <w:p w14:paraId="7B10C0FD" w14:textId="24FBF1AF" w:rsidR="007A402A" w:rsidRDefault="00A351A7" w:rsidP="0056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28"/>
          <w:szCs w:val="28"/>
          <w:lang w:val="fr-BE"/>
        </w:rPr>
      </w:pPr>
      <w:r w:rsidRPr="00A351A7">
        <w:rPr>
          <w:rFonts w:asciiTheme="minorHAnsi" w:hAnsiTheme="minorHAnsi"/>
          <w:b/>
          <w:caps/>
          <w:sz w:val="28"/>
          <w:szCs w:val="28"/>
          <w:lang w:val="fr-BE"/>
        </w:rPr>
        <w:t xml:space="preserve">en </w:t>
      </w:r>
      <w:r w:rsidR="00566CF7">
        <w:rPr>
          <w:rFonts w:asciiTheme="minorHAnsi" w:hAnsiTheme="minorHAnsi"/>
          <w:b/>
          <w:caps/>
          <w:sz w:val="28"/>
          <w:szCs w:val="28"/>
          <w:lang w:val="fr-BE"/>
        </w:rPr>
        <w:t>Région de Bruxelles-Capitale</w:t>
      </w:r>
    </w:p>
    <w:p w14:paraId="0B390185" w14:textId="77777777" w:rsidR="00566CF7" w:rsidRDefault="00566CF7" w:rsidP="0056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28"/>
          <w:szCs w:val="28"/>
          <w:lang w:val="fr-BE"/>
        </w:rPr>
      </w:pPr>
    </w:p>
    <w:p w14:paraId="1B4CA01B" w14:textId="3E0C7417" w:rsidR="007A402A" w:rsidRDefault="007A402A" w:rsidP="007A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A402A">
        <w:rPr>
          <w:i/>
        </w:rPr>
        <w:t>Unia recommande l’adoption d’une ordonnance cadre antidiscrimination généra</w:t>
      </w:r>
      <w:r w:rsidR="00AB3DCB">
        <w:rPr>
          <w:i/>
        </w:rPr>
        <w:t>le, s’appliquant d’emblée à tous</w:t>
      </w:r>
      <w:r w:rsidRPr="007A402A">
        <w:rPr>
          <w:i/>
        </w:rPr>
        <w:t xml:space="preserve"> </w:t>
      </w:r>
      <w:r w:rsidR="001647AC">
        <w:rPr>
          <w:i/>
        </w:rPr>
        <w:t>le</w:t>
      </w:r>
      <w:r w:rsidR="00AB3DCB">
        <w:rPr>
          <w:i/>
        </w:rPr>
        <w:t>s</w:t>
      </w:r>
      <w:r w:rsidR="001647AC">
        <w:rPr>
          <w:i/>
        </w:rPr>
        <w:t xml:space="preserve"> domaine</w:t>
      </w:r>
      <w:r w:rsidR="00AB3DCB">
        <w:rPr>
          <w:i/>
        </w:rPr>
        <w:t>s</w:t>
      </w:r>
      <w:r w:rsidR="001647AC">
        <w:rPr>
          <w:i/>
        </w:rPr>
        <w:t xml:space="preserve"> de</w:t>
      </w:r>
      <w:r w:rsidRPr="007A402A">
        <w:rPr>
          <w:i/>
        </w:rPr>
        <w:t xml:space="preserve"> compétence de </w:t>
      </w:r>
      <w:r w:rsidR="00A210FD">
        <w:rPr>
          <w:i/>
        </w:rPr>
        <w:t>la Région de Bruxelles-Capitale</w:t>
      </w:r>
      <w:r w:rsidRPr="007A402A">
        <w:rPr>
          <w:i/>
        </w:rPr>
        <w:t xml:space="preserve"> et couvrant tous les critè</w:t>
      </w:r>
      <w:r w:rsidR="00B6439A">
        <w:rPr>
          <w:i/>
        </w:rPr>
        <w:t>res qui devraient être protégés -</w:t>
      </w:r>
      <w:r w:rsidRPr="007A402A">
        <w:rPr>
          <w:i/>
        </w:rPr>
        <w:t xml:space="preserve"> dans une optique d’harmonisation de la protection des citoyens </w:t>
      </w:r>
      <w:r w:rsidR="00656993">
        <w:rPr>
          <w:i/>
        </w:rPr>
        <w:t>à travers toutes les compétences régionales</w:t>
      </w:r>
      <w:r w:rsidR="00E311F9">
        <w:rPr>
          <w:i/>
        </w:rPr>
        <w:t xml:space="preserve"> </w:t>
      </w:r>
      <w:r w:rsidR="00656993">
        <w:rPr>
          <w:i/>
        </w:rPr>
        <w:t xml:space="preserve">et à travers </w:t>
      </w:r>
      <w:r w:rsidRPr="007A402A">
        <w:rPr>
          <w:i/>
        </w:rPr>
        <w:t xml:space="preserve">les </w:t>
      </w:r>
      <w:r w:rsidR="00656993">
        <w:rPr>
          <w:i/>
        </w:rPr>
        <w:t xml:space="preserve">différents </w:t>
      </w:r>
      <w:r w:rsidRPr="007A402A">
        <w:rPr>
          <w:i/>
        </w:rPr>
        <w:t>niveaux de pouvoir</w:t>
      </w:r>
      <w:r w:rsidR="00656993">
        <w:rPr>
          <w:i/>
        </w:rPr>
        <w:t xml:space="preserve"> de l’Etat belge</w:t>
      </w:r>
      <w:r w:rsidRPr="007A402A">
        <w:rPr>
          <w:i/>
        </w:rPr>
        <w:t>.</w:t>
      </w:r>
    </w:p>
    <w:p w14:paraId="36264189" w14:textId="77777777" w:rsidR="00566CF7" w:rsidRPr="007A402A" w:rsidRDefault="00566CF7" w:rsidP="007A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14FF669" w14:textId="77777777" w:rsidR="007A402A" w:rsidRPr="00656993" w:rsidRDefault="007A402A" w:rsidP="007A402A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fr-FR" w:eastAsia="fr-FR"/>
        </w:rPr>
        <w:id w:val="-431744226"/>
        <w:docPartObj>
          <w:docPartGallery w:val="Table of Contents"/>
          <w:docPartUnique/>
        </w:docPartObj>
      </w:sdtPr>
      <w:sdtEndPr/>
      <w:sdtContent>
        <w:p w14:paraId="28080767" w14:textId="77777777" w:rsidR="008229A0" w:rsidRPr="00E94763" w:rsidRDefault="00810C52" w:rsidP="00E94763">
          <w:pPr>
            <w:pStyle w:val="En-ttedetabledesmatires"/>
            <w:jc w:val="center"/>
          </w:pPr>
          <w:r>
            <w:rPr>
              <w:rFonts w:ascii="Calibri" w:eastAsia="Times New Roman" w:hAnsi="Calibri" w:cs="Times New Roman"/>
              <w:bCs w:val="0"/>
              <w:color w:val="auto"/>
              <w:sz w:val="24"/>
              <w:szCs w:val="24"/>
              <w:lang w:val="fr-FR" w:eastAsia="fr-FR"/>
            </w:rPr>
            <w:t>Contenu</w:t>
          </w:r>
        </w:p>
        <w:p w14:paraId="5B628556" w14:textId="77777777" w:rsidR="009D60EA" w:rsidRDefault="008229A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481445" w:history="1">
            <w:r w:rsidR="009D60EA" w:rsidRPr="005158A4">
              <w:rPr>
                <w:rStyle w:val="Lienhypertexte"/>
                <w:noProof/>
              </w:rPr>
              <w:t>1.</w:t>
            </w:r>
            <w:r w:rsidR="009D60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9D60EA" w:rsidRPr="005158A4">
              <w:rPr>
                <w:rStyle w:val="Lienhypertexte"/>
                <w:noProof/>
              </w:rPr>
              <w:t>Etat des lieux de la législation</w:t>
            </w:r>
            <w:r w:rsidR="009D60EA" w:rsidRPr="005158A4">
              <w:rPr>
                <w:rStyle w:val="Lienhypertexte"/>
                <w:noProof/>
                <w:lang w:val="fr-BE"/>
              </w:rPr>
              <w:t xml:space="preserve"> antidiscrimination relevante pour la RBC</w:t>
            </w:r>
            <w:r w:rsidR="009D60EA">
              <w:rPr>
                <w:noProof/>
                <w:webHidden/>
              </w:rPr>
              <w:tab/>
            </w:r>
            <w:r w:rsidR="009D60EA">
              <w:rPr>
                <w:noProof/>
                <w:webHidden/>
              </w:rPr>
              <w:fldChar w:fldCharType="begin"/>
            </w:r>
            <w:r w:rsidR="009D60EA">
              <w:rPr>
                <w:noProof/>
                <w:webHidden/>
              </w:rPr>
              <w:instrText xml:space="preserve"> PAGEREF _Toc478481445 \h </w:instrText>
            </w:r>
            <w:r w:rsidR="009D60EA">
              <w:rPr>
                <w:noProof/>
                <w:webHidden/>
              </w:rPr>
            </w:r>
            <w:r w:rsidR="009D60EA">
              <w:rPr>
                <w:noProof/>
                <w:webHidden/>
              </w:rPr>
              <w:fldChar w:fldCharType="separate"/>
            </w:r>
            <w:r w:rsidR="009D60EA">
              <w:rPr>
                <w:noProof/>
                <w:webHidden/>
              </w:rPr>
              <w:t>1</w:t>
            </w:r>
            <w:r w:rsidR="009D60EA">
              <w:rPr>
                <w:noProof/>
                <w:webHidden/>
              </w:rPr>
              <w:fldChar w:fldCharType="end"/>
            </w:r>
          </w:hyperlink>
        </w:p>
        <w:p w14:paraId="6DA22010" w14:textId="77777777" w:rsidR="009D60EA" w:rsidRDefault="009D60EA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478481446" w:history="1">
            <w:r w:rsidRPr="005158A4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Pr="005158A4">
              <w:rPr>
                <w:rStyle w:val="Lienhypertexte"/>
                <w:noProof/>
              </w:rPr>
              <w:t xml:space="preserve">Lacunes ou conflits internes du dispositif régional précédant l’entrée en vigueur de la </w:t>
            </w:r>
            <w:bookmarkStart w:id="0" w:name="_GoBack"/>
            <w:bookmarkEnd w:id="0"/>
            <w:r w:rsidRPr="005158A4">
              <w:rPr>
                <w:rStyle w:val="Lienhypertexte"/>
                <w:noProof/>
              </w:rPr>
              <w:t>sixième réforme de l’Etat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_Toc478481446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4EE42" w14:textId="77777777" w:rsidR="009D60EA" w:rsidRDefault="009D60EA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478481447" w:history="1">
            <w:r w:rsidRPr="005158A4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Pr="005158A4">
              <w:rPr>
                <w:rStyle w:val="Lienhypertexte"/>
                <w:noProof/>
              </w:rPr>
              <w:t>Lacunes ou conflits internes du dispositif régional postérieurs à l’entrée en vigueur de la sixième réforme de l’Etat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_Toc478481447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56245" w14:textId="77777777" w:rsidR="009D60EA" w:rsidRDefault="009D60EA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478481448" w:history="1">
            <w:r w:rsidRPr="005158A4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Pr="005158A4">
              <w:rPr>
                <w:rStyle w:val="Lienhypertexte"/>
                <w:noProof/>
              </w:rPr>
              <w:t>Conséquences pour les citoyens bruxellois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_Toc478481448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7DA7E" w14:textId="77777777" w:rsidR="009D60EA" w:rsidRDefault="009D60EA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478481449" w:history="1">
            <w:r w:rsidRPr="005158A4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Pr="005158A4">
              <w:rPr>
                <w:rStyle w:val="Lienhypertexte"/>
                <w:noProof/>
              </w:rPr>
              <w:t>Recommandation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_Toc478481449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5DD0E" w14:textId="77777777" w:rsidR="009D60EA" w:rsidRDefault="009D60EA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478481450" w:history="1">
            <w:r w:rsidRPr="005158A4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Pr="005158A4">
              <w:rPr>
                <w:rStyle w:val="Lienhypertexte"/>
                <w:noProof/>
              </w:rPr>
              <w:t>Contact Unia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_Toc478481450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8076E" w14:textId="77777777" w:rsidR="00D13FB2" w:rsidRDefault="008229A0" w:rsidP="00D13FB2">
          <w:r>
            <w:rPr>
              <w:b/>
              <w:bCs/>
            </w:rPr>
            <w:fldChar w:fldCharType="end"/>
          </w:r>
        </w:p>
      </w:sdtContent>
    </w:sdt>
    <w:p w14:paraId="2808076F" w14:textId="2376EE79" w:rsidR="00064035" w:rsidRPr="00810C52" w:rsidRDefault="00A351A7" w:rsidP="00810C52">
      <w:pPr>
        <w:pStyle w:val="Titre1"/>
      </w:pPr>
      <w:bookmarkStart w:id="1" w:name="_Toc478481445"/>
      <w:r>
        <w:t>Etat des lieux</w:t>
      </w:r>
      <w:r w:rsidR="008357C6">
        <w:t xml:space="preserve"> de la législation</w:t>
      </w:r>
      <w:r w:rsidR="00F73116" w:rsidRPr="00F73116">
        <w:rPr>
          <w:lang w:val="fr-BE"/>
        </w:rPr>
        <w:t xml:space="preserve"> </w:t>
      </w:r>
      <w:r w:rsidR="00F73116">
        <w:rPr>
          <w:lang w:val="fr-BE"/>
        </w:rPr>
        <w:t xml:space="preserve">antidiscrimination </w:t>
      </w:r>
      <w:r w:rsidR="006715BE">
        <w:rPr>
          <w:lang w:val="fr-BE"/>
        </w:rPr>
        <w:t>relevante pour</w:t>
      </w:r>
      <w:r w:rsidR="00F73116">
        <w:rPr>
          <w:lang w:val="fr-BE"/>
        </w:rPr>
        <w:t xml:space="preserve"> la RBC</w:t>
      </w:r>
      <w:r w:rsidR="00F73116">
        <w:rPr>
          <w:rStyle w:val="Appelnotedebasdep"/>
          <w:lang w:val="fr-BE"/>
        </w:rPr>
        <w:footnoteReference w:id="2"/>
      </w:r>
      <w:bookmarkEnd w:id="1"/>
      <w:r w:rsidR="00F73116">
        <w:rPr>
          <w:lang w:val="fr-BE"/>
        </w:rPr>
        <w:t xml:space="preserve"> </w:t>
      </w:r>
      <w:r w:rsidR="00810C52" w:rsidRPr="00810C52">
        <w:t xml:space="preserve"> </w:t>
      </w:r>
    </w:p>
    <w:p w14:paraId="28080770" w14:textId="77777777" w:rsidR="0073196D" w:rsidRDefault="0073196D" w:rsidP="0073196D">
      <w:pPr>
        <w:rPr>
          <w:lang w:val="fr-BE"/>
        </w:rPr>
      </w:pPr>
    </w:p>
    <w:p w14:paraId="28080771" w14:textId="4C31ABCC" w:rsidR="00A351A7" w:rsidRDefault="00A351A7" w:rsidP="003F3596">
      <w:pPr>
        <w:rPr>
          <w:lang w:val="fr-BE"/>
        </w:rPr>
      </w:pPr>
      <w:r>
        <w:rPr>
          <w:lang w:val="fr-BE"/>
        </w:rPr>
        <w:t xml:space="preserve">Le droit européen </w:t>
      </w:r>
      <w:r w:rsidR="00404E27">
        <w:rPr>
          <w:lang w:val="fr-BE"/>
        </w:rPr>
        <w:t xml:space="preserve">comporte </w:t>
      </w:r>
      <w:r w:rsidR="003F3596">
        <w:rPr>
          <w:lang w:val="fr-BE"/>
        </w:rPr>
        <w:t>plusieurs</w:t>
      </w:r>
      <w:r w:rsidR="00404E27">
        <w:rPr>
          <w:lang w:val="fr-BE"/>
        </w:rPr>
        <w:t xml:space="preserve"> directives « antidiscrimination », dont les plus importantes recouvrent </w:t>
      </w:r>
      <w:r w:rsidR="00404E27" w:rsidRPr="00404E27">
        <w:rPr>
          <w:lang w:val="fr-BE"/>
        </w:rPr>
        <w:t xml:space="preserve">l’égalité de traitement entre les personnes sans distinction de race et d’origine </w:t>
      </w:r>
      <w:r w:rsidR="00404E27">
        <w:rPr>
          <w:lang w:val="fr-BE"/>
        </w:rPr>
        <w:t xml:space="preserve">(2000/43/CE), la </w:t>
      </w:r>
      <w:r w:rsidR="00404E27" w:rsidRPr="00404E27">
        <w:rPr>
          <w:lang w:val="fr-BE"/>
        </w:rPr>
        <w:t>création d’un cadre</w:t>
      </w:r>
      <w:r w:rsidR="00404E27">
        <w:rPr>
          <w:lang w:val="fr-BE"/>
        </w:rPr>
        <w:t xml:space="preserve"> </w:t>
      </w:r>
      <w:r w:rsidR="00404E27" w:rsidRPr="00404E27">
        <w:rPr>
          <w:lang w:val="fr-BE"/>
        </w:rPr>
        <w:t xml:space="preserve">général en faveur de l’égalité de traitement en matière d’emploi et de travail </w:t>
      </w:r>
      <w:r w:rsidR="00404E27">
        <w:rPr>
          <w:lang w:val="fr-BE"/>
        </w:rPr>
        <w:t xml:space="preserve">(2000/78/CE), </w:t>
      </w:r>
      <w:r w:rsidR="00404E27" w:rsidRPr="00404E27">
        <w:rPr>
          <w:lang w:val="fr-BE"/>
        </w:rPr>
        <w:t>l’égalité de traitement entre femmes et</w:t>
      </w:r>
      <w:r w:rsidR="003F3596">
        <w:rPr>
          <w:lang w:val="fr-BE"/>
        </w:rPr>
        <w:t xml:space="preserve"> </w:t>
      </w:r>
      <w:r w:rsidR="00404E27" w:rsidRPr="00404E27">
        <w:rPr>
          <w:lang w:val="fr-BE"/>
        </w:rPr>
        <w:t xml:space="preserve">hommes en </w:t>
      </w:r>
      <w:r w:rsidR="003F3596">
        <w:rPr>
          <w:lang w:val="fr-BE"/>
        </w:rPr>
        <w:t>ce qui concerne l’accès à l</w:t>
      </w:r>
      <w:r w:rsidR="00404E27" w:rsidRPr="00404E27">
        <w:rPr>
          <w:lang w:val="fr-BE"/>
        </w:rPr>
        <w:t>’emploi</w:t>
      </w:r>
      <w:r w:rsidR="00404E27">
        <w:rPr>
          <w:lang w:val="fr-BE"/>
        </w:rPr>
        <w:t xml:space="preserve">, </w:t>
      </w:r>
      <w:r w:rsidR="003F3596">
        <w:rPr>
          <w:lang w:val="fr-BE"/>
        </w:rPr>
        <w:t xml:space="preserve">à la </w:t>
      </w:r>
      <w:r w:rsidR="00404E27">
        <w:rPr>
          <w:lang w:val="fr-BE"/>
        </w:rPr>
        <w:t xml:space="preserve">formation </w:t>
      </w:r>
      <w:r w:rsidR="003F3596">
        <w:rPr>
          <w:lang w:val="fr-BE"/>
        </w:rPr>
        <w:t>et</w:t>
      </w:r>
      <w:r w:rsidR="003F3596" w:rsidRPr="003F3596">
        <w:rPr>
          <w:lang w:val="fr-BE"/>
        </w:rPr>
        <w:t xml:space="preserve"> à la promotion</w:t>
      </w:r>
      <w:r w:rsidR="003F3596">
        <w:rPr>
          <w:lang w:val="fr-BE"/>
        </w:rPr>
        <w:t xml:space="preserve"> professionnelle</w:t>
      </w:r>
      <w:r w:rsidR="003F3596" w:rsidRPr="003F3596">
        <w:rPr>
          <w:lang w:val="fr-BE"/>
        </w:rPr>
        <w:t xml:space="preserve"> et les conditions de travail</w:t>
      </w:r>
      <w:r w:rsidR="00404E27">
        <w:rPr>
          <w:lang w:val="fr-BE"/>
        </w:rPr>
        <w:t xml:space="preserve"> (</w:t>
      </w:r>
      <w:r w:rsidR="00404E27" w:rsidRPr="00404E27">
        <w:rPr>
          <w:lang w:val="fr-BE"/>
        </w:rPr>
        <w:t>2002/73/CE</w:t>
      </w:r>
      <w:r w:rsidR="00404E27">
        <w:rPr>
          <w:lang w:val="fr-BE"/>
        </w:rPr>
        <w:t xml:space="preserve"> et </w:t>
      </w:r>
      <w:r w:rsidR="00404E27" w:rsidRPr="00404E27">
        <w:rPr>
          <w:lang w:val="fr-BE"/>
        </w:rPr>
        <w:t>2006/54/CE</w:t>
      </w:r>
      <w:r w:rsidR="00404E27">
        <w:rPr>
          <w:lang w:val="fr-BE"/>
        </w:rPr>
        <w:t xml:space="preserve">), ainsi que </w:t>
      </w:r>
      <w:r w:rsidR="00260220" w:rsidRPr="00404E27">
        <w:rPr>
          <w:lang w:val="fr-BE"/>
        </w:rPr>
        <w:t>l’égalité de traitement entre femmes et</w:t>
      </w:r>
      <w:r w:rsidR="00260220">
        <w:rPr>
          <w:lang w:val="fr-BE"/>
        </w:rPr>
        <w:t xml:space="preserve"> </w:t>
      </w:r>
      <w:r w:rsidR="00260220" w:rsidRPr="00404E27">
        <w:rPr>
          <w:lang w:val="fr-BE"/>
        </w:rPr>
        <w:t xml:space="preserve">hommes </w:t>
      </w:r>
      <w:r w:rsidR="00404E27">
        <w:rPr>
          <w:lang w:val="fr-BE"/>
        </w:rPr>
        <w:t>dans l’</w:t>
      </w:r>
      <w:r w:rsidR="00404E27" w:rsidRPr="00404E27">
        <w:rPr>
          <w:lang w:val="fr-BE"/>
        </w:rPr>
        <w:t>accès aux biens et aux</w:t>
      </w:r>
      <w:r w:rsidR="00404E27">
        <w:rPr>
          <w:lang w:val="fr-BE"/>
        </w:rPr>
        <w:t xml:space="preserve"> </w:t>
      </w:r>
      <w:r w:rsidR="00404E27" w:rsidRPr="00404E27">
        <w:rPr>
          <w:lang w:val="fr-BE"/>
        </w:rPr>
        <w:t>services</w:t>
      </w:r>
      <w:r w:rsidR="00404E27">
        <w:rPr>
          <w:lang w:val="fr-BE"/>
        </w:rPr>
        <w:t xml:space="preserve"> (</w:t>
      </w:r>
      <w:r w:rsidR="00404E27" w:rsidRPr="00404E27">
        <w:rPr>
          <w:lang w:val="fr-BE"/>
        </w:rPr>
        <w:t>2004/113/CE</w:t>
      </w:r>
      <w:r w:rsidR="00404E27">
        <w:rPr>
          <w:lang w:val="fr-BE"/>
        </w:rPr>
        <w:t>).</w:t>
      </w:r>
    </w:p>
    <w:p w14:paraId="28080772" w14:textId="77777777" w:rsidR="00A351A7" w:rsidRDefault="00A351A7" w:rsidP="0073196D">
      <w:pPr>
        <w:rPr>
          <w:lang w:val="fr-BE"/>
        </w:rPr>
      </w:pPr>
    </w:p>
    <w:p w14:paraId="28080773" w14:textId="77958F22" w:rsidR="00A351A7" w:rsidRPr="00710037" w:rsidRDefault="00404E27" w:rsidP="0073196D">
      <w:pPr>
        <w:rPr>
          <w:i/>
          <w:lang w:val="fr-BE"/>
        </w:rPr>
      </w:pPr>
      <w:r>
        <w:rPr>
          <w:lang w:val="fr-BE"/>
        </w:rPr>
        <w:lastRenderedPageBreak/>
        <w:t xml:space="preserve">Au niveau de l’Etat belge, chaque entité fédérée est responsable de la transposition </w:t>
      </w:r>
      <w:r w:rsidR="0092307E">
        <w:rPr>
          <w:lang w:val="fr-BE"/>
        </w:rPr>
        <w:t xml:space="preserve">de ces directives dans son </w:t>
      </w:r>
      <w:r w:rsidR="001647AC">
        <w:rPr>
          <w:lang w:val="fr-BE"/>
        </w:rPr>
        <w:t>domaine</w:t>
      </w:r>
      <w:r w:rsidR="0092307E">
        <w:rPr>
          <w:lang w:val="fr-BE"/>
        </w:rPr>
        <w:t xml:space="preserve"> de compétence, de même qu’elle peut </w:t>
      </w:r>
      <w:r w:rsidR="00FA765A">
        <w:rPr>
          <w:lang w:val="fr-BE"/>
        </w:rPr>
        <w:t xml:space="preserve">y </w:t>
      </w:r>
      <w:r w:rsidR="0092307E">
        <w:rPr>
          <w:lang w:val="fr-BE"/>
        </w:rPr>
        <w:t>mettre en place</w:t>
      </w:r>
      <w:r w:rsidR="006715BE">
        <w:rPr>
          <w:lang w:val="fr-BE"/>
        </w:rPr>
        <w:t xml:space="preserve">, si elle le souhaite, </w:t>
      </w:r>
      <w:r w:rsidR="00FA765A">
        <w:rPr>
          <w:lang w:val="fr-BE"/>
        </w:rPr>
        <w:t>des dispositifs anti</w:t>
      </w:r>
      <w:r w:rsidR="0092307E">
        <w:rPr>
          <w:lang w:val="fr-BE"/>
        </w:rPr>
        <w:t>discrimination supplémentaires.</w:t>
      </w:r>
    </w:p>
    <w:p w14:paraId="28080774" w14:textId="77777777" w:rsidR="00A351A7" w:rsidRDefault="00A351A7" w:rsidP="0073196D">
      <w:pPr>
        <w:rPr>
          <w:lang w:val="fr-BE"/>
        </w:rPr>
      </w:pPr>
    </w:p>
    <w:p w14:paraId="28080775" w14:textId="77777777" w:rsidR="00A351A7" w:rsidRDefault="003F3596" w:rsidP="0073196D">
      <w:pPr>
        <w:rPr>
          <w:lang w:val="fr-BE"/>
        </w:rPr>
      </w:pPr>
      <w:r>
        <w:rPr>
          <w:lang w:val="fr-BE"/>
        </w:rPr>
        <w:t>En R</w:t>
      </w:r>
      <w:r w:rsidR="0092307E">
        <w:rPr>
          <w:lang w:val="fr-BE"/>
        </w:rPr>
        <w:t xml:space="preserve">égion de Bruxelles-Capitale, il a été choisi d’adopter des ordonnances différentes </w:t>
      </w:r>
      <w:r w:rsidR="000139D1">
        <w:rPr>
          <w:lang w:val="fr-BE"/>
        </w:rPr>
        <w:t>selon</w:t>
      </w:r>
      <w:r>
        <w:rPr>
          <w:lang w:val="fr-BE"/>
        </w:rPr>
        <w:t xml:space="preserve"> diverses matières. Les plus importantes </w:t>
      </w:r>
      <w:r w:rsidR="00C526F4">
        <w:rPr>
          <w:lang w:val="fr-BE"/>
        </w:rPr>
        <w:t xml:space="preserve">en </w:t>
      </w:r>
      <w:r>
        <w:rPr>
          <w:lang w:val="fr-BE"/>
        </w:rPr>
        <w:t>sont :</w:t>
      </w:r>
    </w:p>
    <w:p w14:paraId="28080776" w14:textId="77777777" w:rsidR="003F3596" w:rsidRDefault="003F3596" w:rsidP="0073196D">
      <w:pPr>
        <w:rPr>
          <w:lang w:val="fr-BE"/>
        </w:rPr>
      </w:pPr>
    </w:p>
    <w:p w14:paraId="2808077A" w14:textId="14A91E53" w:rsidR="003F3596" w:rsidRDefault="009D60EA" w:rsidP="003F3596">
      <w:pPr>
        <w:pStyle w:val="Paragraphedeliste"/>
        <w:numPr>
          <w:ilvl w:val="0"/>
          <w:numId w:val="35"/>
        </w:numPr>
        <w:rPr>
          <w:lang w:val="fr-BE"/>
        </w:rPr>
      </w:pPr>
      <w:hyperlink r:id="rId13" w:anchor="top" w:history="1">
        <w:r w:rsidR="003F3596" w:rsidRPr="002B2D71">
          <w:rPr>
            <w:rStyle w:val="Lienhypertexte"/>
            <w:b/>
          </w:rPr>
          <w:t>4 SEPTEMBRE 2008. - Ordonnance relative à la lutte contre la discrimination et à l'égalité de traitement en matière d'emploi.</w:t>
        </w:r>
      </w:hyperlink>
      <w:r w:rsidR="00F73116" w:rsidRPr="002B2D71">
        <w:rPr>
          <w:lang w:val="fr-BE"/>
        </w:rPr>
        <w:t xml:space="preserve"> – s’appliquant aux « </w:t>
      </w:r>
      <w:r w:rsidR="00F73116" w:rsidRPr="002B2D71">
        <w:rPr>
          <w:bCs/>
        </w:rPr>
        <w:t xml:space="preserve">organisations intermédiaires en ce qui concerne leurs activités de placement des travailleurs et aux opérateurs d'insertion socio-professionnelle en ce qui concerne leurs activités d'insertion socio-professionnelle. </w:t>
      </w:r>
      <w:r w:rsidR="00F73116" w:rsidRPr="002B2D71">
        <w:rPr>
          <w:lang w:val="fr-BE"/>
        </w:rPr>
        <w:t>»</w:t>
      </w:r>
    </w:p>
    <w:p w14:paraId="5BDBA72C" w14:textId="77777777" w:rsidR="002B2D71" w:rsidRPr="002B2D71" w:rsidRDefault="002B2D71" w:rsidP="002B2D71">
      <w:pPr>
        <w:pStyle w:val="Paragraphedeliste"/>
        <w:ind w:left="360"/>
        <w:rPr>
          <w:lang w:val="fr-BE"/>
        </w:rPr>
      </w:pPr>
    </w:p>
    <w:p w14:paraId="2808077B" w14:textId="77777777" w:rsidR="003F3596" w:rsidRPr="00F73116" w:rsidRDefault="009D60EA" w:rsidP="008357C6">
      <w:pPr>
        <w:pStyle w:val="Paragraphedeliste"/>
        <w:numPr>
          <w:ilvl w:val="0"/>
          <w:numId w:val="35"/>
        </w:numPr>
      </w:pPr>
      <w:hyperlink r:id="rId14" w:anchor="top" w:history="1">
        <w:r w:rsidR="003F3596" w:rsidRPr="008357C6">
          <w:rPr>
            <w:rStyle w:val="Lienhypertexte"/>
            <w:b/>
          </w:rPr>
          <w:t>4 SEPTEMBRE 2008. - Ordonnance visant à promouvoir la diversité et à lutter contre la discrimination dans la fonction publique régionale bruxelloise.</w:t>
        </w:r>
      </w:hyperlink>
      <w:r w:rsidR="008357C6">
        <w:rPr>
          <w:b/>
        </w:rPr>
        <w:t xml:space="preserve"> </w:t>
      </w:r>
      <w:r w:rsidR="00F73116" w:rsidRPr="00F73116">
        <w:t xml:space="preserve">– s’appliquant « aux </w:t>
      </w:r>
      <w:r w:rsidR="00F73116" w:rsidRPr="00F73116">
        <w:rPr>
          <w:bCs/>
        </w:rPr>
        <w:t>organismes publics de la Région de Bruxelles-Capitale</w:t>
      </w:r>
      <w:r w:rsidR="00F73116">
        <w:rPr>
          <w:bCs/>
        </w:rPr>
        <w:t>.</w:t>
      </w:r>
      <w:r w:rsidR="00F73116" w:rsidRPr="00F73116">
        <w:rPr>
          <w:bCs/>
        </w:rPr>
        <w:t> »</w:t>
      </w:r>
    </w:p>
    <w:p w14:paraId="2808077C" w14:textId="77777777" w:rsidR="003F3596" w:rsidRDefault="003F3596" w:rsidP="003F3596">
      <w:pPr>
        <w:rPr>
          <w:b/>
        </w:rPr>
      </w:pPr>
    </w:p>
    <w:p w14:paraId="2808077D" w14:textId="77777777" w:rsidR="003F3596" w:rsidRPr="00F73116" w:rsidRDefault="009D60EA" w:rsidP="008357C6">
      <w:pPr>
        <w:pStyle w:val="Paragraphedeliste"/>
        <w:numPr>
          <w:ilvl w:val="0"/>
          <w:numId w:val="35"/>
        </w:numPr>
        <w:rPr>
          <w:bCs/>
        </w:rPr>
      </w:pPr>
      <w:hyperlink r:id="rId15" w:anchor="top" w:history="1">
        <w:r w:rsidR="003F3596" w:rsidRPr="008357C6">
          <w:rPr>
            <w:rStyle w:val="Lienhypertexte"/>
            <w:b/>
            <w:bCs/>
          </w:rPr>
          <w:t>4 SEPTEMBRE 2008. - Ordonnance visant à assurer une politique de diversité au sein de la fonction publique bruxelloise.</w:t>
        </w:r>
      </w:hyperlink>
      <w:r w:rsidR="003F3596" w:rsidRPr="008357C6">
        <w:rPr>
          <w:b/>
        </w:rPr>
        <w:t xml:space="preserve"> </w:t>
      </w:r>
      <w:r w:rsidR="00F73116" w:rsidRPr="00F73116">
        <w:t xml:space="preserve">– s’appliquant aux </w:t>
      </w:r>
      <w:r w:rsidR="00F73116">
        <w:t>p</w:t>
      </w:r>
      <w:r w:rsidR="003F3596" w:rsidRPr="00F73116">
        <w:t>ouvoirs locaux</w:t>
      </w:r>
      <w:r w:rsidR="00F73116">
        <w:t xml:space="preserve"> (communes, intercommunales, asbl communales)</w:t>
      </w:r>
      <w:r w:rsidR="003F3596" w:rsidRPr="00F73116">
        <w:t>.</w:t>
      </w:r>
      <w:r w:rsidR="000139D1">
        <w:t xml:space="preserve"> Cette ordonnance ne contient donc pas de volet « égalité de traitement »</w:t>
      </w:r>
      <w:r w:rsidR="0066479B">
        <w:t xml:space="preserve"> ou « lutte contre la discrimination »</w:t>
      </w:r>
      <w:r w:rsidR="000139D1">
        <w:t xml:space="preserve">. </w:t>
      </w:r>
    </w:p>
    <w:p w14:paraId="2808077E" w14:textId="77777777" w:rsidR="003F3596" w:rsidRPr="003F3596" w:rsidRDefault="003F3596" w:rsidP="003F3596">
      <w:pPr>
        <w:rPr>
          <w:b/>
        </w:rPr>
      </w:pPr>
    </w:p>
    <w:p w14:paraId="2808077F" w14:textId="77777777" w:rsidR="003F3596" w:rsidRPr="008357C6" w:rsidRDefault="009D60EA" w:rsidP="008357C6">
      <w:pPr>
        <w:pStyle w:val="Paragraphedeliste"/>
        <w:numPr>
          <w:ilvl w:val="0"/>
          <w:numId w:val="35"/>
        </w:numPr>
        <w:rPr>
          <w:b/>
          <w:bCs/>
        </w:rPr>
      </w:pPr>
      <w:hyperlink r:id="rId16" w:anchor="top" w:history="1">
        <w:r w:rsidR="003F3596" w:rsidRPr="008357C6">
          <w:rPr>
            <w:rStyle w:val="Lienhypertexte"/>
            <w:b/>
            <w:bCs/>
          </w:rPr>
          <w:t xml:space="preserve">17 </w:t>
        </w:r>
        <w:r w:rsidR="003F3596" w:rsidRPr="008357C6">
          <w:rPr>
            <w:rStyle w:val="Lienhypertexte"/>
            <w:b/>
            <w:bCs/>
          </w:rPr>
          <w:t>J</w:t>
        </w:r>
        <w:r w:rsidR="003F3596" w:rsidRPr="008357C6">
          <w:rPr>
            <w:rStyle w:val="Lienhypertexte"/>
            <w:b/>
            <w:bCs/>
          </w:rPr>
          <w:t>UILLET 2003. - Ordonnance portant le Code bruxellois du Logement (version 2013 - texte remplacé par erratum publié aux pages 47151-47212 du M.B. du 26-07-2013).</w:t>
        </w:r>
      </w:hyperlink>
      <w:bookmarkStart w:id="2" w:name="LNK0067"/>
    </w:p>
    <w:bookmarkStart w:id="3" w:name="LNK0068"/>
    <w:bookmarkEnd w:id="2"/>
    <w:p w14:paraId="28080780" w14:textId="6A0C0BD3" w:rsidR="003F3596" w:rsidRDefault="003F3596" w:rsidP="00F73116">
      <w:pPr>
        <w:ind w:left="360"/>
      </w:pPr>
      <w:r w:rsidRPr="003F3596">
        <w:fldChar w:fldCharType="begin"/>
      </w:r>
      <w:r w:rsidRPr="003F3596">
        <w:instrText xml:space="preserve"> HYPERLINK "http://www.ejustice.just.fgov.be/cgi_loi/loi_a1.pl?imgcn.x=48&amp;imgcn.y=10&amp;DETAIL=2003071790%2FF&amp;caller=list&amp;row_id=1&amp;numero=1&amp;rech=2&amp;cn=2003071790&amp;table_name=LOI&amp;nm=2013A31614&amp;la=F&amp;chercher=c&amp;dt=CODE+BRUXELLOIS+DU+LOGEMENT&amp;language=fr&amp;fr=f&amp;choix1=ET&amp;choix2=ET&amp;fromtab=loi_all&amp;sql=dt+contains++%27CODE%27%2526+%27BRUXELLOIS%27%2526+%27DU%27%2526+%27LOGEMENT%27and+actif+%3D+%27Y%27&amp;tri=dd+AS+RANK+&amp;trier=promulgation" \l "LNKR0068" </w:instrText>
      </w:r>
      <w:r w:rsidRPr="003F3596">
        <w:fldChar w:fldCharType="separate"/>
      </w:r>
      <w:r w:rsidRPr="003F3596">
        <w:rPr>
          <w:rStyle w:val="Lienhypertexte"/>
          <w:bCs/>
        </w:rPr>
        <w:t>TITRE X.</w:t>
      </w:r>
      <w:r w:rsidRPr="003F3596">
        <w:fldChar w:fldCharType="end"/>
      </w:r>
      <w:bookmarkEnd w:id="3"/>
      <w:r w:rsidRPr="003F3596">
        <w:rPr>
          <w:bCs/>
        </w:rPr>
        <w:t> - DE L'EGALITE DE TRAITEMENT</w:t>
      </w:r>
      <w:r w:rsidR="00DE6135">
        <w:rPr>
          <w:bCs/>
        </w:rPr>
        <w:t>.</w:t>
      </w:r>
      <w:r w:rsidR="00C526F4">
        <w:rPr>
          <w:bCs/>
        </w:rPr>
        <w:t xml:space="preserve"> </w:t>
      </w:r>
      <w:r w:rsidR="0066479B">
        <w:rPr>
          <w:bCs/>
        </w:rPr>
        <w:t xml:space="preserve">Le titre X </w:t>
      </w:r>
      <w:r w:rsidR="00F73116">
        <w:rPr>
          <w:bCs/>
        </w:rPr>
        <w:t>s</w:t>
      </w:r>
      <w:r w:rsidR="0066479B">
        <w:rPr>
          <w:bCs/>
        </w:rPr>
        <w:t>’applique seulement</w:t>
      </w:r>
      <w:r w:rsidR="008357C6">
        <w:rPr>
          <w:bCs/>
        </w:rPr>
        <w:t xml:space="preserve"> aux opérateurs </w:t>
      </w:r>
      <w:r w:rsidR="006715BE">
        <w:rPr>
          <w:bCs/>
        </w:rPr>
        <w:t xml:space="preserve">publics </w:t>
      </w:r>
      <w:r w:rsidR="008357C6">
        <w:rPr>
          <w:bCs/>
        </w:rPr>
        <w:t>de l</w:t>
      </w:r>
      <w:r w:rsidR="00F73116">
        <w:rPr>
          <w:bCs/>
        </w:rPr>
        <w:t xml:space="preserve">ogement. </w:t>
      </w:r>
      <w:r w:rsidR="008357C6">
        <w:t xml:space="preserve">Jusqu’à l’entrée en vigueur </w:t>
      </w:r>
      <w:r w:rsidR="00F73116">
        <w:t xml:space="preserve">de la sixième réforme de l’Etat, le logement locatif privé relevait </w:t>
      </w:r>
      <w:r w:rsidR="00B14BA2">
        <w:t xml:space="preserve">d’une matière </w:t>
      </w:r>
      <w:r w:rsidR="00F73116">
        <w:t>fédéral</w:t>
      </w:r>
      <w:r w:rsidR="00B14BA2">
        <w:t>e</w:t>
      </w:r>
      <w:r w:rsidR="00F73116">
        <w:t>.</w:t>
      </w:r>
    </w:p>
    <w:p w14:paraId="28080781" w14:textId="77777777" w:rsidR="00C45D46" w:rsidRDefault="00C45D46" w:rsidP="00F73116">
      <w:pPr>
        <w:ind w:left="360"/>
      </w:pPr>
    </w:p>
    <w:p w14:paraId="28080782" w14:textId="3632DD6D" w:rsidR="00C45D46" w:rsidRPr="00C45D46" w:rsidRDefault="00C45D46" w:rsidP="00C45D46">
      <w:pPr>
        <w:pStyle w:val="Paragraphedeliste"/>
        <w:numPr>
          <w:ilvl w:val="0"/>
          <w:numId w:val="35"/>
        </w:numPr>
        <w:rPr>
          <w:bCs/>
        </w:rPr>
      </w:pPr>
      <w:r>
        <w:rPr>
          <w:bCs/>
        </w:rPr>
        <w:t xml:space="preserve">Par ailleurs, le droit fédéral garantit l’égalité de traitement en matière d’accès aux biens et services et à leur fourniture </w:t>
      </w:r>
      <w:r w:rsidR="000258B2">
        <w:rPr>
          <w:bCs/>
        </w:rPr>
        <w:t>lorsque ceux-ci</w:t>
      </w:r>
      <w:r>
        <w:rPr>
          <w:bCs/>
        </w:rPr>
        <w:t xml:space="preserve"> relèvent du droit contractuel </w:t>
      </w:r>
      <w:r w:rsidR="000258B2">
        <w:rPr>
          <w:bCs/>
        </w:rPr>
        <w:t>fédéral</w:t>
      </w:r>
      <w:r>
        <w:rPr>
          <w:bCs/>
        </w:rPr>
        <w:t xml:space="preserve"> (</w:t>
      </w:r>
      <w:r w:rsidR="0066479B">
        <w:rPr>
          <w:bCs/>
        </w:rPr>
        <w:t>en ce compris l’</w:t>
      </w:r>
      <w:r w:rsidR="006715BE">
        <w:rPr>
          <w:bCs/>
        </w:rPr>
        <w:t>hore</w:t>
      </w:r>
      <w:r>
        <w:rPr>
          <w:bCs/>
        </w:rPr>
        <w:t xml:space="preserve">ca, </w:t>
      </w:r>
      <w:r w:rsidR="0066479B">
        <w:rPr>
          <w:bCs/>
        </w:rPr>
        <w:t xml:space="preserve">les </w:t>
      </w:r>
      <w:r>
        <w:rPr>
          <w:bCs/>
        </w:rPr>
        <w:t xml:space="preserve">services bancaires, </w:t>
      </w:r>
      <w:r w:rsidR="0066479B">
        <w:rPr>
          <w:bCs/>
        </w:rPr>
        <w:t xml:space="preserve">les </w:t>
      </w:r>
      <w:r>
        <w:rPr>
          <w:bCs/>
        </w:rPr>
        <w:t>assurances,…)</w:t>
      </w:r>
      <w:r w:rsidR="002B2D71">
        <w:rPr>
          <w:bCs/>
        </w:rPr>
        <w:t xml:space="preserve">, ainsi qu’en matière de relations de travail relevant du droit </w:t>
      </w:r>
      <w:r w:rsidR="00DE6135">
        <w:rPr>
          <w:bCs/>
        </w:rPr>
        <w:t xml:space="preserve">fédéral </w:t>
      </w:r>
      <w:r w:rsidR="002B2D71">
        <w:rPr>
          <w:bCs/>
        </w:rPr>
        <w:t>du travail.</w:t>
      </w:r>
    </w:p>
    <w:p w14:paraId="28080783" w14:textId="09C4CD64" w:rsidR="00A351A7" w:rsidRDefault="00F73116" w:rsidP="00F73116">
      <w:pPr>
        <w:pStyle w:val="Titre1"/>
      </w:pPr>
      <w:bookmarkStart w:id="4" w:name="_Toc478481446"/>
      <w:r>
        <w:t xml:space="preserve">Lacunes </w:t>
      </w:r>
      <w:r w:rsidR="009D2FF1">
        <w:t xml:space="preserve">ou conflits internes </w:t>
      </w:r>
      <w:r>
        <w:t>du</w:t>
      </w:r>
      <w:r w:rsidR="005A3FEA">
        <w:t xml:space="preserve"> dispositif régional précédant l’entrée en vigueur de la sixième réforme de l’</w:t>
      </w:r>
      <w:r w:rsidR="00393083">
        <w:t>E</w:t>
      </w:r>
      <w:r w:rsidR="005A3FEA">
        <w:t>tat</w:t>
      </w:r>
      <w:bookmarkEnd w:id="4"/>
    </w:p>
    <w:p w14:paraId="28080784" w14:textId="77777777" w:rsidR="005A3FEA" w:rsidRDefault="005A3FEA" w:rsidP="005A3FEA"/>
    <w:p w14:paraId="28080785" w14:textId="77777777" w:rsidR="00C45D46" w:rsidRDefault="005A3FEA" w:rsidP="005A3FEA">
      <w:r>
        <w:t>Avant même l’entrée en vigueur de la sixième réforme de l’Etat belge, plusieurs lacunes étaient à co</w:t>
      </w:r>
      <w:r w:rsidR="00FA765A">
        <w:t>nstater dans le dispositif anti</w:t>
      </w:r>
      <w:r>
        <w:t xml:space="preserve">discrimination régional bruxellois, tant en ce qui concernait la transposition </w:t>
      </w:r>
      <w:r w:rsidR="00C45D46">
        <w:t>des directives européennes, qu’en regard du dispositif fédéral :</w:t>
      </w:r>
    </w:p>
    <w:p w14:paraId="28080786" w14:textId="77777777" w:rsidR="00C45D46" w:rsidRDefault="00C45D46" w:rsidP="005A3FEA"/>
    <w:p w14:paraId="28080787" w14:textId="3F0D7C45" w:rsidR="000258B2" w:rsidRDefault="00C45D46" w:rsidP="00C45D46">
      <w:pPr>
        <w:pStyle w:val="Paragraphedeliste"/>
        <w:numPr>
          <w:ilvl w:val="0"/>
          <w:numId w:val="35"/>
        </w:numPr>
      </w:pPr>
      <w:r w:rsidRPr="00C45D46">
        <w:rPr>
          <w:b/>
        </w:rPr>
        <w:t>« L’o</w:t>
      </w:r>
      <w:r w:rsidR="003F3596" w:rsidRPr="00C45D46">
        <w:rPr>
          <w:b/>
        </w:rPr>
        <w:t>rdonnance visant à assurer une politique de diversité au sein de la fonction publique bruxelloise</w:t>
      </w:r>
      <w:r w:rsidRPr="00C45D46">
        <w:rPr>
          <w:b/>
        </w:rPr>
        <w:t> »</w:t>
      </w:r>
      <w:r w:rsidR="0066479B">
        <w:rPr>
          <w:b/>
        </w:rPr>
        <w:t>,</w:t>
      </w:r>
      <w:r>
        <w:t xml:space="preserve"> s’appliquant aux pouvoir locaux, comporte bien, comme son nom l’indique, un volet de promotion de la diversité, mais elle ne comporte pas de volet relatif à l’égalité de traitement, </w:t>
      </w:r>
      <w:r w:rsidR="005F7B38">
        <w:t>qui</w:t>
      </w:r>
      <w:r>
        <w:t xml:space="preserve"> interdi</w:t>
      </w:r>
      <w:r w:rsidR="005F7B38">
        <w:t>rait</w:t>
      </w:r>
      <w:r>
        <w:t xml:space="preserve"> formellement la discrimination. Il en </w:t>
      </w:r>
      <w:r>
        <w:lastRenderedPageBreak/>
        <w:t xml:space="preserve">résulte par exemple que </w:t>
      </w:r>
      <w:r w:rsidRPr="00FD00B1">
        <w:rPr>
          <w:b/>
        </w:rPr>
        <w:t xml:space="preserve">les agents statutaires </w:t>
      </w:r>
      <w:r w:rsidR="000258B2" w:rsidRPr="00FD00B1">
        <w:rPr>
          <w:b/>
        </w:rPr>
        <w:t xml:space="preserve">employés par les </w:t>
      </w:r>
      <w:r w:rsidRPr="00FD00B1">
        <w:rPr>
          <w:b/>
        </w:rPr>
        <w:t xml:space="preserve">pouvoirs locaux ne sont </w:t>
      </w:r>
      <w:r w:rsidR="005F7B38" w:rsidRPr="00FD00B1">
        <w:rPr>
          <w:b/>
        </w:rPr>
        <w:t xml:space="preserve">aujourd’hui </w:t>
      </w:r>
      <w:r w:rsidRPr="00FD00B1">
        <w:rPr>
          <w:b/>
        </w:rPr>
        <w:t>protégés par aucune législation antidiscrimination, au contraire des agents contractuels, qui sont protégés par le droit fédéral</w:t>
      </w:r>
      <w:r w:rsidR="00697E51">
        <w:rPr>
          <w:b/>
        </w:rPr>
        <w:t>,</w:t>
      </w:r>
      <w:r w:rsidRPr="00FD00B1">
        <w:rPr>
          <w:b/>
        </w:rPr>
        <w:t xml:space="preserve"> </w:t>
      </w:r>
      <w:r w:rsidR="005C7E64" w:rsidRPr="00FD00B1">
        <w:rPr>
          <w:b/>
        </w:rPr>
        <w:t>par le biais de</w:t>
      </w:r>
      <w:r w:rsidRPr="00FD00B1">
        <w:rPr>
          <w:b/>
        </w:rPr>
        <w:t xml:space="preserve"> la loi </w:t>
      </w:r>
      <w:r w:rsidR="005C7E64" w:rsidRPr="00FD00B1">
        <w:rPr>
          <w:b/>
        </w:rPr>
        <w:t>du 3 mars</w:t>
      </w:r>
      <w:r w:rsidRPr="00FD00B1">
        <w:rPr>
          <w:b/>
        </w:rPr>
        <w:t xml:space="preserve"> 1978 sur les contrats de travail.</w:t>
      </w:r>
      <w:r w:rsidR="006715BE">
        <w:t xml:space="preserve"> C’est là clairement un défaut de transpositi</w:t>
      </w:r>
      <w:r w:rsidR="0066479B">
        <w:t>on des directives européennes.</w:t>
      </w:r>
    </w:p>
    <w:p w14:paraId="28080788" w14:textId="77777777" w:rsidR="000258B2" w:rsidRDefault="000258B2" w:rsidP="000258B2">
      <w:pPr>
        <w:pStyle w:val="Paragraphedeliste"/>
        <w:ind w:left="360"/>
      </w:pPr>
    </w:p>
    <w:p w14:paraId="28080789" w14:textId="2A7765AB" w:rsidR="000B0605" w:rsidRDefault="00801586" w:rsidP="006715BE">
      <w:pPr>
        <w:pStyle w:val="Paragraphedeliste"/>
        <w:numPr>
          <w:ilvl w:val="0"/>
          <w:numId w:val="35"/>
        </w:numPr>
      </w:pPr>
      <w:r w:rsidRPr="00801586">
        <w:rPr>
          <w:b/>
        </w:rPr>
        <w:t>L</w:t>
      </w:r>
      <w:r w:rsidR="00320F9B" w:rsidRPr="00801586">
        <w:rPr>
          <w:b/>
        </w:rPr>
        <w:t xml:space="preserve">’accès aux </w:t>
      </w:r>
      <w:r w:rsidR="006715BE" w:rsidRPr="00801586">
        <w:rPr>
          <w:b/>
        </w:rPr>
        <w:t xml:space="preserve">biens et services relevant </w:t>
      </w:r>
      <w:r w:rsidR="00320F9B" w:rsidRPr="00801586">
        <w:rPr>
          <w:b/>
        </w:rPr>
        <w:t xml:space="preserve">du </w:t>
      </w:r>
      <w:r w:rsidR="005A5C58">
        <w:rPr>
          <w:b/>
        </w:rPr>
        <w:t>domaine</w:t>
      </w:r>
      <w:r w:rsidR="00320F9B" w:rsidRPr="00801586">
        <w:rPr>
          <w:b/>
        </w:rPr>
        <w:t xml:space="preserve"> de compétence de la RBC</w:t>
      </w:r>
      <w:r>
        <w:t xml:space="preserve"> </w:t>
      </w:r>
      <w:r w:rsidRPr="00801586">
        <w:t xml:space="preserve">n’est aujourd’hui </w:t>
      </w:r>
      <w:r w:rsidR="00697E51">
        <w:t xml:space="preserve">encore </w:t>
      </w:r>
      <w:r w:rsidRPr="00801586">
        <w:t>couvert par aucune législation antidiscrimination,</w:t>
      </w:r>
      <w:r>
        <w:t xml:space="preserve"> et c’est un autre défaut de transposition des directives européennes. Ce </w:t>
      </w:r>
      <w:r w:rsidR="005A5C58">
        <w:t>domaine</w:t>
      </w:r>
      <w:r>
        <w:t xml:space="preserve"> de compétence concerne tous les </w:t>
      </w:r>
      <w:r w:rsidR="0066479B">
        <w:t xml:space="preserve">services </w:t>
      </w:r>
      <w:r>
        <w:t xml:space="preserve">assurés par des organismes </w:t>
      </w:r>
      <w:r w:rsidR="0066479B">
        <w:t xml:space="preserve">publics régionaux </w:t>
      </w:r>
      <w:r w:rsidR="0066479B" w:rsidRPr="00801586">
        <w:t>et locaux</w:t>
      </w:r>
      <w:r>
        <w:t xml:space="preserve"> (dans la mesure où ces derniers font l’objet d’une tutelle régionale), comme par exemple </w:t>
      </w:r>
      <w:r w:rsidR="00320F9B">
        <w:t>les tran</w:t>
      </w:r>
      <w:r>
        <w:t>sports publics régionaux (STIB)</w:t>
      </w:r>
      <w:r w:rsidR="00320F9B">
        <w:t xml:space="preserve">. Ce défaut </w:t>
      </w:r>
      <w:r>
        <w:t xml:space="preserve">de transposition </w:t>
      </w:r>
      <w:r w:rsidR="00320F9B">
        <w:t xml:space="preserve">a </w:t>
      </w:r>
      <w:r>
        <w:t xml:space="preserve">donc </w:t>
      </w:r>
      <w:r w:rsidR="00320F9B">
        <w:t xml:space="preserve">des conséquences </w:t>
      </w:r>
      <w:r w:rsidR="00260220">
        <w:t xml:space="preserve">importantes </w:t>
      </w:r>
      <w:r w:rsidR="005F7B38">
        <w:t>notamment</w:t>
      </w:r>
      <w:r w:rsidR="00320F9B">
        <w:t xml:space="preserve"> pour les personnes à mobilité réduite, alors que la Belgique s’est engagée, avec ses entités fédérées, à mettre en œuvre la </w:t>
      </w:r>
      <w:r w:rsidR="00320F9B" w:rsidRPr="00801586">
        <w:rPr>
          <w:i/>
        </w:rPr>
        <w:t xml:space="preserve">Convention </w:t>
      </w:r>
      <w:r w:rsidR="00716CB7">
        <w:rPr>
          <w:i/>
        </w:rPr>
        <w:t>des Nations Unies relative aux droits des personnes handicapées</w:t>
      </w:r>
      <w:r w:rsidR="00320F9B" w:rsidRPr="005F7B38">
        <w:t>.</w:t>
      </w:r>
    </w:p>
    <w:p w14:paraId="2808078A" w14:textId="77777777" w:rsidR="000B0605" w:rsidRDefault="000B0605" w:rsidP="000B0605">
      <w:pPr>
        <w:pStyle w:val="Paragraphedeliste"/>
        <w:ind w:left="360"/>
      </w:pPr>
    </w:p>
    <w:p w14:paraId="2808078B" w14:textId="50B59225" w:rsidR="005A3FEA" w:rsidRPr="005F7B38" w:rsidRDefault="00C92D00" w:rsidP="000B0605">
      <w:pPr>
        <w:pStyle w:val="Paragraphedeliste"/>
        <w:ind w:left="360"/>
      </w:pPr>
      <w:r>
        <w:t xml:space="preserve">En 2015, Unia a été invité </w:t>
      </w:r>
      <w:r w:rsidR="00801586">
        <w:t>par le cabinet de la s</w:t>
      </w:r>
      <w:r w:rsidR="000B0605">
        <w:t xml:space="preserve">ecrétaire d’Etat chargée de l’Egalité des chances </w:t>
      </w:r>
      <w:r>
        <w:t xml:space="preserve">à rendre avis sur un avant-projet d’ordonnance destiné à </w:t>
      </w:r>
      <w:r w:rsidR="000B0605">
        <w:t>résoudre ce défaut de transposition, mais nous n’avons pas connaissance de l’état d’avancement actuel de ce projet</w:t>
      </w:r>
      <w:r w:rsidR="00BB7DEB">
        <w:t xml:space="preserve"> d’ordonnance</w:t>
      </w:r>
      <w:r w:rsidR="000B0605">
        <w:t>.</w:t>
      </w:r>
    </w:p>
    <w:p w14:paraId="2808078C" w14:textId="77777777" w:rsidR="006715BE" w:rsidRDefault="006715BE" w:rsidP="006715BE"/>
    <w:p w14:paraId="009AB17D" w14:textId="0A9E98D3" w:rsidR="00FD00B1" w:rsidRDefault="00C92D00" w:rsidP="00FD00B1">
      <w:pPr>
        <w:pStyle w:val="Paragraphedeliste"/>
        <w:numPr>
          <w:ilvl w:val="0"/>
          <w:numId w:val="35"/>
        </w:numPr>
      </w:pPr>
      <w:r w:rsidRPr="00157A59">
        <w:rPr>
          <w:b/>
        </w:rPr>
        <w:t xml:space="preserve">Entre les différentes ordonnances, et par rapport à la législation fédérale ou aux directives européennes, </w:t>
      </w:r>
      <w:r w:rsidR="00C526F4">
        <w:rPr>
          <w:b/>
        </w:rPr>
        <w:t>l’</w:t>
      </w:r>
      <w:r w:rsidR="001647AC">
        <w:rPr>
          <w:b/>
        </w:rPr>
        <w:t xml:space="preserve">on rencontre des disparités. </w:t>
      </w:r>
      <w:r w:rsidR="001647AC" w:rsidRPr="001647AC">
        <w:t>Quelques exemples parmi d’autres :</w:t>
      </w:r>
      <w:r w:rsidR="001647AC">
        <w:rPr>
          <w:b/>
        </w:rPr>
        <w:t xml:space="preserve"> </w:t>
      </w:r>
      <w:r>
        <w:t xml:space="preserve">certaines ordonnances oublient la clause </w:t>
      </w:r>
      <w:r w:rsidR="00363B5D">
        <w:t xml:space="preserve">dite « de </w:t>
      </w:r>
      <w:r>
        <w:t>sauvegarde</w:t>
      </w:r>
      <w:r w:rsidR="00363B5D">
        <w:t> »</w:t>
      </w:r>
      <w:r>
        <w:t xml:space="preserve"> (</w:t>
      </w:r>
      <w:r w:rsidR="00363B5D">
        <w:t xml:space="preserve">selon laquelle </w:t>
      </w:r>
      <w:r>
        <w:t xml:space="preserve">il n’y a pas discrimination si c’est une réglementation </w:t>
      </w:r>
      <w:r w:rsidR="000B0605">
        <w:t xml:space="preserve">légale </w:t>
      </w:r>
      <w:r>
        <w:t xml:space="preserve">qui prévoit la </w:t>
      </w:r>
      <w:r w:rsidR="00157A59">
        <w:t>différence</w:t>
      </w:r>
      <w:r>
        <w:t xml:space="preserve"> de traitement), ou bien les critères protégés ne sont</w:t>
      </w:r>
      <w:r w:rsidR="000B0605">
        <w:t>-ils</w:t>
      </w:r>
      <w:r>
        <w:t xml:space="preserve"> pas </w:t>
      </w:r>
      <w:r w:rsidR="00157A59">
        <w:t xml:space="preserve">chaque fois </w:t>
      </w:r>
      <w:r>
        <w:t>exactement les mêmes. Ainsi la</w:t>
      </w:r>
      <w:r w:rsidR="00FD00B1">
        <w:t xml:space="preserve"> législation fédérale a-t-elle </w:t>
      </w:r>
      <w:r>
        <w:t>ajouté</w:t>
      </w:r>
      <w:r w:rsidRPr="00C92D00">
        <w:t xml:space="preserve"> </w:t>
      </w:r>
      <w:r>
        <w:t>la conviction syndicale par rapport aux directives européennes, mais toutes les ordonnances bruxelloises ne reprennent pas encore celle-ci</w:t>
      </w:r>
      <w:r w:rsidR="00576677">
        <w:rPr>
          <w:rStyle w:val="Appelnotedebasdep"/>
        </w:rPr>
        <w:footnoteReference w:id="3"/>
      </w:r>
      <w:r w:rsidR="000B0605">
        <w:t>.</w:t>
      </w:r>
      <w:r w:rsidR="00FD00B1">
        <w:t xml:space="preserve"> Unia plaide de manière générale pour une harmonisation des critères de discrimination entre les différentes législations adoptées à tous les niveaux de pouvoir</w:t>
      </w:r>
      <w:r w:rsidR="00A210FD">
        <w:t>.</w:t>
      </w:r>
    </w:p>
    <w:p w14:paraId="16C34FA9" w14:textId="77777777" w:rsidR="00256509" w:rsidRDefault="00256509" w:rsidP="00256509">
      <w:pPr>
        <w:pStyle w:val="Paragraphedeliste"/>
        <w:ind w:left="360"/>
      </w:pPr>
    </w:p>
    <w:p w14:paraId="45737CD6" w14:textId="246E02DD" w:rsidR="00A210FD" w:rsidRDefault="00A210FD" w:rsidP="00256509">
      <w:pPr>
        <w:pStyle w:val="Paragraphedeliste"/>
        <w:ind w:left="0"/>
      </w:pPr>
      <w:r w:rsidRPr="000F340A">
        <w:t xml:space="preserve">Il est à remarquer que le problème de ces lacunes et de ces disparités avait déjà été pointé dans les débats parlementaires qui ont précédé l’adoption </w:t>
      </w:r>
      <w:r w:rsidR="00363B5D" w:rsidRPr="000F340A">
        <w:t xml:space="preserve">en 2008 </w:t>
      </w:r>
      <w:r w:rsidRPr="000F340A">
        <w:t>des ordonnances citées ci-dessus</w:t>
      </w:r>
      <w:r w:rsidR="00340DA7" w:rsidRPr="000F340A">
        <w:t xml:space="preserve">, de même que certains parlementaires ont regretté qu’il ne soit pas proposé </w:t>
      </w:r>
      <w:r w:rsidR="00363B5D" w:rsidRPr="000F340A">
        <w:t xml:space="preserve">plutôt </w:t>
      </w:r>
      <w:r w:rsidR="00340DA7" w:rsidRPr="000F340A">
        <w:t>une ordonnance générale et coordonnée</w:t>
      </w:r>
      <w:r w:rsidR="0052381D" w:rsidRPr="000F340A">
        <w:rPr>
          <w:rStyle w:val="Appelnotedebasdep"/>
        </w:rPr>
        <w:footnoteReference w:id="4"/>
      </w:r>
      <w:r w:rsidR="00340DA7" w:rsidRPr="000F340A">
        <w:t>.</w:t>
      </w:r>
    </w:p>
    <w:p w14:paraId="10764627" w14:textId="77777777" w:rsidR="000F340A" w:rsidRDefault="000F340A" w:rsidP="00256509">
      <w:pPr>
        <w:pStyle w:val="Paragraphedeliste"/>
        <w:ind w:left="0"/>
      </w:pPr>
    </w:p>
    <w:p w14:paraId="042DF505" w14:textId="77777777" w:rsidR="000F340A" w:rsidRDefault="000F340A">
      <w:pPr>
        <w:spacing w:after="200" w:line="276" w:lineRule="auto"/>
        <w:jc w:val="left"/>
      </w:pPr>
      <w:r>
        <w:br w:type="page"/>
      </w:r>
    </w:p>
    <w:p w14:paraId="00B41FD6" w14:textId="77777777" w:rsidR="009D2FF1" w:rsidRDefault="009D2FF1" w:rsidP="009D2FF1">
      <w:pPr>
        <w:pStyle w:val="Titre1"/>
      </w:pPr>
      <w:bookmarkStart w:id="5" w:name="_Toc478481447"/>
      <w:r>
        <w:lastRenderedPageBreak/>
        <w:t>Lacunes ou conflits internes du dispositif régional postérieurs à l’entrée en vigueur de la sixième réforme de l’Etat</w:t>
      </w:r>
      <w:bookmarkEnd w:id="5"/>
    </w:p>
    <w:p w14:paraId="2808078F" w14:textId="77777777" w:rsidR="005A3FEA" w:rsidRDefault="005A3FEA" w:rsidP="005A3FEA"/>
    <w:p w14:paraId="28080790" w14:textId="77777777" w:rsidR="005A3FEA" w:rsidRDefault="000B0605" w:rsidP="000B0605">
      <w:pPr>
        <w:pStyle w:val="Paragraphedeliste"/>
        <w:numPr>
          <w:ilvl w:val="0"/>
          <w:numId w:val="35"/>
        </w:numPr>
      </w:pPr>
      <w:r w:rsidRPr="00EB134F">
        <w:rPr>
          <w:b/>
        </w:rPr>
        <w:t xml:space="preserve">Si la législation fédérale s’appliquait </w:t>
      </w:r>
      <w:r w:rsidR="00576677" w:rsidRPr="00EB134F">
        <w:rPr>
          <w:b/>
        </w:rPr>
        <w:t>aux</w:t>
      </w:r>
      <w:r w:rsidRPr="00EB134F">
        <w:rPr>
          <w:b/>
        </w:rPr>
        <w:t xml:space="preserve"> baux locatifs privés jusqu’à l’entrée en vigueur de cette réforme, c’est aujourd’hui du droit régional que ceux-ci relèvent</w:t>
      </w:r>
      <w:r>
        <w:t>. Cela implique notamment qu’il règne aujourd’hui, pour les locataires ou les candidats locataires de logements privés à Bruxelles, un vide juridique quant à leur protection contre la discrimination.</w:t>
      </w:r>
    </w:p>
    <w:p w14:paraId="28080791" w14:textId="77777777" w:rsidR="00157A59" w:rsidRDefault="00157A59" w:rsidP="00157A59"/>
    <w:p w14:paraId="28080792" w14:textId="1F0B1A1B" w:rsidR="00157A59" w:rsidRDefault="00157A59" w:rsidP="00157A59">
      <w:pPr>
        <w:ind w:left="360"/>
      </w:pPr>
      <w:r>
        <w:t>Suite à une recommandation d’Unia</w:t>
      </w:r>
      <w:r w:rsidR="00576677">
        <w:rPr>
          <w:rStyle w:val="Appelnotedebasdep"/>
        </w:rPr>
        <w:footnoteReference w:id="5"/>
      </w:r>
      <w:r>
        <w:t xml:space="preserve">, la ministre du Logement </w:t>
      </w:r>
      <w:r w:rsidR="009812D4">
        <w:t>a proposé</w:t>
      </w:r>
      <w:r>
        <w:t xml:space="preserve"> d’étendre le champ d’application du </w:t>
      </w:r>
      <w:r w:rsidR="00260220">
        <w:t xml:space="preserve">titre X du </w:t>
      </w:r>
      <w:r>
        <w:t>Code du logement au</w:t>
      </w:r>
      <w:r w:rsidR="009B334F">
        <w:t>x</w:t>
      </w:r>
      <w:r>
        <w:t xml:space="preserve"> baux d’habitation</w:t>
      </w:r>
      <w:r w:rsidR="009B334F" w:rsidRPr="009B334F">
        <w:t xml:space="preserve"> </w:t>
      </w:r>
      <w:r w:rsidR="009B334F">
        <w:t>privé</w:t>
      </w:r>
      <w:r w:rsidR="00E85189">
        <w:t>s</w:t>
      </w:r>
      <w:r w:rsidR="009812D4">
        <w:rPr>
          <w:rStyle w:val="Appelnotedebasdep"/>
        </w:rPr>
        <w:footnoteReference w:id="6"/>
      </w:r>
      <w:r>
        <w:t xml:space="preserve">. </w:t>
      </w:r>
      <w:r w:rsidR="00576677">
        <w:t xml:space="preserve">Dans ce cas, il faudra veiller à exclure le bail locatif privé du champ d’application de la future ordonnance antidiscrimination relative aux biens et services. </w:t>
      </w:r>
    </w:p>
    <w:p w14:paraId="01CBA1BF" w14:textId="48BD61DE" w:rsidR="009D2FF1" w:rsidRDefault="009D2FF1" w:rsidP="00157A59">
      <w:pPr>
        <w:ind w:left="360"/>
      </w:pPr>
    </w:p>
    <w:p w14:paraId="2B27E501" w14:textId="6175F7EF" w:rsidR="009D2FF1" w:rsidRDefault="00E763D1" w:rsidP="00281622">
      <w:r>
        <w:t>Ainsi</w:t>
      </w:r>
      <w:r w:rsidR="00466C5C">
        <w:t xml:space="preserve"> t</w:t>
      </w:r>
      <w:r w:rsidR="007164CA">
        <w:t>oute mesure destinée à combler une lacune du dispositif antidiscrimination régional bruxellois - ou simplement à l’améliorer -, risque</w:t>
      </w:r>
      <w:r w:rsidR="00AB7035" w:rsidRPr="00AB7035">
        <w:t xml:space="preserve"> </w:t>
      </w:r>
      <w:r w:rsidR="007164CA">
        <w:t xml:space="preserve">d’entrer en conflit avec d’autres </w:t>
      </w:r>
      <w:r w:rsidR="00D5775F">
        <w:t>dispositions de ce même dispositif</w:t>
      </w:r>
      <w:r w:rsidR="00AB7035">
        <w:t xml:space="preserve">, </w:t>
      </w:r>
      <w:r w:rsidR="00E72534">
        <w:t>et</w:t>
      </w:r>
      <w:r w:rsidR="00AB7035">
        <w:t xml:space="preserve"> de provoquer de nouvelles </w:t>
      </w:r>
      <w:r w:rsidR="00466C5C">
        <w:t>zones d’</w:t>
      </w:r>
      <w:r w:rsidR="00D5775F">
        <w:t>insécurité juridique</w:t>
      </w:r>
      <w:r w:rsidR="00AB7035">
        <w:t>.</w:t>
      </w:r>
      <w:r w:rsidR="007164CA">
        <w:t xml:space="preserve"> C’est une conséquence directe du mode de construction de ce dispositif, par addition de mesures chaque fois partielles.</w:t>
      </w:r>
    </w:p>
    <w:p w14:paraId="28080794" w14:textId="6F714904" w:rsidR="000B0605" w:rsidRDefault="00C526F4" w:rsidP="009B334F">
      <w:pPr>
        <w:pStyle w:val="Titre1"/>
      </w:pPr>
      <w:bookmarkStart w:id="6" w:name="_Toc478481448"/>
      <w:r>
        <w:t>Conséquences pour le</w:t>
      </w:r>
      <w:r w:rsidR="00F02263">
        <w:t>s</w:t>
      </w:r>
      <w:r>
        <w:t xml:space="preserve"> citoyen</w:t>
      </w:r>
      <w:r w:rsidR="00F02263">
        <w:t>s</w:t>
      </w:r>
      <w:r>
        <w:t xml:space="preserve"> bruxellois</w:t>
      </w:r>
      <w:bookmarkEnd w:id="6"/>
    </w:p>
    <w:p w14:paraId="28080795" w14:textId="77777777" w:rsidR="00C526F4" w:rsidRDefault="00C526F4" w:rsidP="00C526F4"/>
    <w:p w14:paraId="28080796" w14:textId="33532079" w:rsidR="00C526F4" w:rsidRDefault="001052FA" w:rsidP="00C526F4">
      <w:r>
        <w:t>L’absence de protection contre les discriminations</w:t>
      </w:r>
      <w:r w:rsidR="00466C5C">
        <w:t>,</w:t>
      </w:r>
      <w:r>
        <w:t xml:space="preserve"> </w:t>
      </w:r>
      <w:r w:rsidR="00466C5C">
        <w:t xml:space="preserve">notamment </w:t>
      </w:r>
      <w:r>
        <w:t>dans le domaine du logement, des transports et des biens et services</w:t>
      </w:r>
      <w:r w:rsidR="00466C5C">
        <w:t>,</w:t>
      </w:r>
      <w:r>
        <w:t xml:space="preserve"> implique pour le citoyen bruxellois une impossibilité de faire reconnaître ses droits devant les tribunaux compétents. </w:t>
      </w:r>
    </w:p>
    <w:p w14:paraId="3C28C988" w14:textId="77777777" w:rsidR="001052FA" w:rsidRDefault="001052FA" w:rsidP="00C526F4"/>
    <w:p w14:paraId="03C84A24" w14:textId="48A3F452" w:rsidR="001052FA" w:rsidRPr="00906304" w:rsidRDefault="00C23C15" w:rsidP="00C526F4">
      <w:r>
        <w:t>Pour illustrer ce propos</w:t>
      </w:r>
      <w:r w:rsidR="007A402A">
        <w:t>,</w:t>
      </w:r>
      <w:r>
        <w:t xml:space="preserve"> on notera qu’</w:t>
      </w:r>
      <w:r w:rsidR="001052FA">
        <w:t>Unia a été saisi</w:t>
      </w:r>
      <w:r w:rsidR="005B34B7">
        <w:t>,</w:t>
      </w:r>
      <w:r w:rsidR="001052FA">
        <w:t xml:space="preserve"> depuis le mois de janvier </w:t>
      </w:r>
      <w:r w:rsidR="00AD5810">
        <w:t>2016</w:t>
      </w:r>
      <w:r w:rsidR="005B34B7">
        <w:t>,</w:t>
      </w:r>
      <w:r w:rsidR="001052FA">
        <w:t xml:space="preserve"> de </w:t>
      </w:r>
      <w:r w:rsidR="00AD5810">
        <w:t>2</w:t>
      </w:r>
      <w:r w:rsidR="000F340A">
        <w:t>6</w:t>
      </w:r>
      <w:r w:rsidR="00AD5810">
        <w:t xml:space="preserve"> </w:t>
      </w:r>
      <w:r w:rsidR="001052FA">
        <w:t xml:space="preserve">signalements de discriminations en matière de logement dans le champ des compétences de la région </w:t>
      </w:r>
      <w:r w:rsidR="000F340A">
        <w:t>bruxelloise</w:t>
      </w:r>
      <w:r w:rsidR="000F340A" w:rsidRPr="00906304">
        <w:t xml:space="preserve">. Pour les dossiers antérieurs qui sont toujours en cours de traitement, la question de la référence juridique à faire appliquer pose désormais aussi question. </w:t>
      </w:r>
    </w:p>
    <w:p w14:paraId="599C43F3" w14:textId="77777777" w:rsidR="001052FA" w:rsidRDefault="001052FA" w:rsidP="00C526F4"/>
    <w:p w14:paraId="5AE79712" w14:textId="5CF567D9" w:rsidR="001052FA" w:rsidRDefault="001052FA" w:rsidP="00C526F4">
      <w:r>
        <w:t>Ces signalements conce</w:t>
      </w:r>
      <w:r w:rsidR="007A402A">
        <w:t>rnent des refus de location lié</w:t>
      </w:r>
      <w:r>
        <w:t>s à des critères de discriminations tels que l’état de fortune (refus de location à des allocataires sociaux), l’origine ethnique ou la couleur de peau (refus de location à des candidats d’origine africaine, turque ou marocaine)</w:t>
      </w:r>
      <w:r w:rsidR="007A402A">
        <w:t xml:space="preserve">, </w:t>
      </w:r>
      <w:r>
        <w:t xml:space="preserve"> le handicap (refus d’aménagement raisonnable dans le logement mis en location)</w:t>
      </w:r>
      <w:r w:rsidR="007A402A">
        <w:t>,</w:t>
      </w:r>
      <w:r>
        <w:t xml:space="preserve"> mais aussi des situations de harcèlement</w:t>
      </w:r>
      <w:r w:rsidR="00C23C15">
        <w:t xml:space="preserve"> dans le cadre des relations entre un locataire et son propriétaire</w:t>
      </w:r>
      <w:r w:rsidR="005B34B7">
        <w:t>,</w:t>
      </w:r>
      <w:r>
        <w:t xml:space="preserve"> basé</w:t>
      </w:r>
      <w:r w:rsidR="005B34B7">
        <w:t>es</w:t>
      </w:r>
      <w:r>
        <w:t xml:space="preserve"> notamment sur l’orientation sexuelle du locataire </w:t>
      </w:r>
      <w:r w:rsidR="007A402A">
        <w:t>ou encore sur son origine ethnique.</w:t>
      </w:r>
    </w:p>
    <w:p w14:paraId="67B37F2D" w14:textId="77777777" w:rsidR="000F2C3B" w:rsidRDefault="000F2C3B" w:rsidP="00C526F4"/>
    <w:p w14:paraId="17DF0375" w14:textId="3013E79D" w:rsidR="00B933D6" w:rsidRPr="000F340A" w:rsidRDefault="000F2C3B" w:rsidP="00B933D6">
      <w:r w:rsidRPr="000F340A">
        <w:lastRenderedPageBreak/>
        <w:t xml:space="preserve">D’autres signalements </w:t>
      </w:r>
      <w:r w:rsidR="00B933D6" w:rsidRPr="000F340A">
        <w:t xml:space="preserve">révélateurs de la problématique </w:t>
      </w:r>
      <w:r w:rsidRPr="000F340A">
        <w:t xml:space="preserve">concernent l’impossibilité </w:t>
      </w:r>
      <w:r w:rsidR="002E4687" w:rsidRPr="000F340A">
        <w:t xml:space="preserve">récurrente </w:t>
      </w:r>
      <w:r w:rsidR="00B933D6" w:rsidRPr="000F340A">
        <w:t xml:space="preserve">pour des personnes à mobilité réduite </w:t>
      </w:r>
      <w:r w:rsidRPr="000F340A">
        <w:t xml:space="preserve">d’accéder aux transports publics bruxellois. </w:t>
      </w:r>
      <w:r w:rsidR="00B933D6" w:rsidRPr="000F340A">
        <w:t xml:space="preserve">Unia a par exemple été </w:t>
      </w:r>
      <w:r w:rsidR="008871B2" w:rsidRPr="000F340A">
        <w:t xml:space="preserve">saisi </w:t>
      </w:r>
      <w:r w:rsidR="00B933D6" w:rsidRPr="000F340A">
        <w:t xml:space="preserve">par une dame en chaise roulante qui n’a aucune solution </w:t>
      </w:r>
      <w:r w:rsidR="002E4687" w:rsidRPr="000F340A">
        <w:t xml:space="preserve">satisfaisante </w:t>
      </w:r>
      <w:r w:rsidR="00B933D6" w:rsidRPr="000F340A">
        <w:t>de transport en commun.</w:t>
      </w:r>
      <w:r w:rsidR="002E4687" w:rsidRPr="000F340A">
        <w:t xml:space="preserve"> </w:t>
      </w:r>
      <w:r w:rsidR="00B933D6" w:rsidRPr="000F340A">
        <w:t xml:space="preserve">Cette situation n’est pas conforme à </w:t>
      </w:r>
      <w:r w:rsidR="00B933D6" w:rsidRPr="000F340A">
        <w:rPr>
          <w:i/>
        </w:rPr>
        <w:t>la Convention des Nations Unies relative aux droits des personnes handicapées</w:t>
      </w:r>
      <w:r w:rsidR="00AB3DCB" w:rsidRPr="000F340A">
        <w:t xml:space="preserve">, alors que celle-ci a été </w:t>
      </w:r>
      <w:r w:rsidR="00B933D6" w:rsidRPr="000F340A">
        <w:t>ratifiée par la Région de Bruxelles-Capitale et devrait être protégée par le droit interne bruxellois.</w:t>
      </w:r>
    </w:p>
    <w:p w14:paraId="6C22DDA7" w14:textId="3C41A639" w:rsidR="000F2C3B" w:rsidRPr="005A3C36" w:rsidRDefault="000F2C3B" w:rsidP="00C526F4">
      <w:pPr>
        <w:rPr>
          <w:color w:val="FF0000"/>
        </w:rPr>
      </w:pPr>
    </w:p>
    <w:p w14:paraId="6DD6A8DF" w14:textId="16B5BD95" w:rsidR="000F2C3B" w:rsidRDefault="00C23C15" w:rsidP="000F2C3B">
      <w:r>
        <w:t>Compte tenu de l’absence de texte</w:t>
      </w:r>
      <w:r w:rsidR="007A402A">
        <w:t>s</w:t>
      </w:r>
      <w:r>
        <w:t xml:space="preserve"> juridique</w:t>
      </w:r>
      <w:r w:rsidR="007A402A">
        <w:t>s</w:t>
      </w:r>
      <w:r>
        <w:t xml:space="preserve"> applic</w:t>
      </w:r>
      <w:r w:rsidR="00EF1EF2">
        <w:t>ables à ce type de situation</w:t>
      </w:r>
      <w:r w:rsidR="007A402A">
        <w:t>,</w:t>
      </w:r>
      <w:r w:rsidR="00EF1EF2">
        <w:t xml:space="preserve"> </w:t>
      </w:r>
      <w:r w:rsidR="000F2C3B">
        <w:t>il est  impossible pour la victime et pour Unia d’introduire en justice un recours recevable</w:t>
      </w:r>
      <w:r w:rsidR="007A402A">
        <w:t>, même lorsque les éléments de preuve se trouvent être suffisants</w:t>
      </w:r>
      <w:r w:rsidR="000F2C3B">
        <w:t xml:space="preserve">. C’est le cas par exemple dans un dossier ouvert </w:t>
      </w:r>
      <w:r w:rsidR="007A402A">
        <w:t>par</w:t>
      </w:r>
      <w:r w:rsidR="000F2C3B">
        <w:t xml:space="preserve"> Unia</w:t>
      </w:r>
      <w:r w:rsidR="007A402A">
        <w:t>,</w:t>
      </w:r>
      <w:r w:rsidR="000F2C3B">
        <w:t xml:space="preserve"> concernant un couple d’origine africaine qui, via une agence immobilière</w:t>
      </w:r>
      <w:r w:rsidR="007A402A">
        <w:t>,</w:t>
      </w:r>
      <w:r w:rsidR="000F2C3B">
        <w:t xml:space="preserve"> s’était porté candidat à une location. L’agence immobilière avait alors témoigné formellement auprès d’Unia que le refus des propriétaires était motivé par le fait « qu’ils se méfiai</w:t>
      </w:r>
      <w:r w:rsidR="00363B5D">
        <w:t>ent des gens de couleur ».</w:t>
      </w:r>
    </w:p>
    <w:p w14:paraId="28080797" w14:textId="77777777" w:rsidR="00064035" w:rsidRDefault="00810C52" w:rsidP="00810C52">
      <w:pPr>
        <w:pStyle w:val="Titre1"/>
      </w:pPr>
      <w:bookmarkStart w:id="7" w:name="_Toc478481449"/>
      <w:r w:rsidRPr="00810C52">
        <w:t>Recommandation</w:t>
      </w:r>
      <w:bookmarkEnd w:id="7"/>
    </w:p>
    <w:p w14:paraId="28080798" w14:textId="77777777" w:rsidR="00D86CE6" w:rsidRDefault="00D86CE6" w:rsidP="00D86CE6"/>
    <w:p w14:paraId="0B5C4A9C" w14:textId="4DD2183D" w:rsidR="00656993" w:rsidRDefault="00C526F4" w:rsidP="00656993">
      <w:pPr>
        <w:rPr>
          <w:b/>
        </w:rPr>
      </w:pPr>
      <w:r>
        <w:t xml:space="preserve">Plutôt que de précipiter </w:t>
      </w:r>
      <w:r w:rsidR="00393083">
        <w:t>la</w:t>
      </w:r>
      <w:r>
        <w:t xml:space="preserve"> fuite en avant, où chaque nouvelle mesure pour combler une lacune du dispositif </w:t>
      </w:r>
      <w:r w:rsidR="00393083">
        <w:t xml:space="preserve">antidiscrimination régional bruxellois risquera d’entrer en conflit avec une mesure existante ou en projet, sans pour autant réussir à combler une fois pour toutes l’ensemble de ces lacunes, </w:t>
      </w:r>
      <w:r w:rsidR="00393083" w:rsidRPr="00021994">
        <w:rPr>
          <w:b/>
        </w:rPr>
        <w:t>Unia recommande l’adoption d’une ordonnance cadre antidiscrimination généra</w:t>
      </w:r>
      <w:r w:rsidR="00AB3DCB">
        <w:rPr>
          <w:b/>
        </w:rPr>
        <w:t>le, s’appliquant d’emblée à tous</w:t>
      </w:r>
      <w:r w:rsidR="00393083" w:rsidRPr="00021994">
        <w:rPr>
          <w:b/>
        </w:rPr>
        <w:t xml:space="preserve"> le</w:t>
      </w:r>
      <w:r w:rsidR="00AB3DCB">
        <w:rPr>
          <w:b/>
        </w:rPr>
        <w:t>s</w:t>
      </w:r>
      <w:r w:rsidR="00393083" w:rsidRPr="00021994">
        <w:rPr>
          <w:b/>
        </w:rPr>
        <w:t xml:space="preserve"> </w:t>
      </w:r>
      <w:r w:rsidR="001647AC">
        <w:rPr>
          <w:b/>
        </w:rPr>
        <w:t>domaine</w:t>
      </w:r>
      <w:r w:rsidR="00AB3DCB">
        <w:rPr>
          <w:b/>
        </w:rPr>
        <w:t>s</w:t>
      </w:r>
      <w:r w:rsidR="00393083" w:rsidRPr="00021994">
        <w:rPr>
          <w:b/>
        </w:rPr>
        <w:t xml:space="preserve"> de compétence </w:t>
      </w:r>
      <w:r w:rsidR="00FA765A" w:rsidRPr="00021994">
        <w:rPr>
          <w:b/>
        </w:rPr>
        <w:t>de la R</w:t>
      </w:r>
      <w:r w:rsidR="00393083" w:rsidRPr="00021994">
        <w:rPr>
          <w:b/>
        </w:rPr>
        <w:t>égion de Bruxelles-Capitale, et couvrant tous les critères qui devraient être protégés</w:t>
      </w:r>
      <w:r w:rsidR="00E72534">
        <w:rPr>
          <w:b/>
        </w:rPr>
        <w:t xml:space="preserve"> -</w:t>
      </w:r>
      <w:r w:rsidR="00021994" w:rsidRPr="00656993">
        <w:rPr>
          <w:b/>
        </w:rPr>
        <w:t xml:space="preserve">dans une optique d’harmonisation de la protection des citoyens </w:t>
      </w:r>
      <w:r w:rsidR="00656993" w:rsidRPr="00656993">
        <w:rPr>
          <w:b/>
        </w:rPr>
        <w:t>à travers toutes les compétences régionales et à travers les différents niveaux de pouvoir de l’Etat belge</w:t>
      </w:r>
      <w:r w:rsidR="00656993">
        <w:rPr>
          <w:b/>
        </w:rPr>
        <w:t>.</w:t>
      </w:r>
    </w:p>
    <w:p w14:paraId="142FD925" w14:textId="77777777" w:rsidR="00656993" w:rsidRDefault="00656993" w:rsidP="00656993">
      <w:pPr>
        <w:rPr>
          <w:b/>
        </w:rPr>
      </w:pPr>
    </w:p>
    <w:p w14:paraId="53CECD29" w14:textId="404B480F" w:rsidR="00656993" w:rsidRPr="000F340A" w:rsidRDefault="00656993" w:rsidP="00656993">
      <w:r w:rsidRPr="000F340A">
        <w:t xml:space="preserve">La mise en œuvre d’une telle ordonnance cadre serait certainement plus simple que </w:t>
      </w:r>
      <w:r w:rsidR="00B01347">
        <w:t xml:space="preserve">celle de </w:t>
      </w:r>
      <w:r w:rsidRPr="000F340A">
        <w:t xml:space="preserve">l’actuel dispositif régional antidiscrimination bruxellois - et pourrait s’inspirer utilement du niveau fédéral et des entités régionales ou communautaires qui ont déjà mis en œuvre </w:t>
      </w:r>
      <w:r w:rsidR="007A772B" w:rsidRPr="000F340A">
        <w:t>un tel cadre réglementaire global et coordonné</w:t>
      </w:r>
      <w:r w:rsidRPr="000F340A">
        <w:t>.</w:t>
      </w:r>
    </w:p>
    <w:p w14:paraId="2808079C" w14:textId="3FA171D1" w:rsidR="00064035" w:rsidRPr="00810C52" w:rsidRDefault="00656993" w:rsidP="00656993">
      <w:pPr>
        <w:pStyle w:val="Titre1"/>
      </w:pPr>
      <w:r w:rsidRPr="00656993">
        <w:t xml:space="preserve"> </w:t>
      </w:r>
      <w:bookmarkStart w:id="8" w:name="_Toc478481450"/>
      <w:r w:rsidR="009D16CA">
        <w:t>Contact Unia</w:t>
      </w:r>
      <w:bookmarkEnd w:id="8"/>
    </w:p>
    <w:p w14:paraId="42652184" w14:textId="77777777" w:rsidR="00BF738E" w:rsidRDefault="00BF738E" w:rsidP="0004354E">
      <w:pPr>
        <w:rPr>
          <w:lang w:val="fr-BE"/>
        </w:rPr>
      </w:pPr>
    </w:p>
    <w:p w14:paraId="2808079E" w14:textId="77777777" w:rsidR="0041251A" w:rsidRPr="00C526F4" w:rsidRDefault="00E85189" w:rsidP="0004354E">
      <w:pPr>
        <w:rPr>
          <w:lang w:val="fr-BE"/>
        </w:rPr>
      </w:pPr>
      <w:r>
        <w:rPr>
          <w:lang w:val="fr-BE"/>
        </w:rPr>
        <w:t>Bruno.M</w:t>
      </w:r>
      <w:r w:rsidR="00C526F4" w:rsidRPr="00C526F4">
        <w:rPr>
          <w:lang w:val="fr-BE"/>
        </w:rPr>
        <w:t>artens@unia.be</w:t>
      </w:r>
    </w:p>
    <w:sectPr w:rsidR="0041251A" w:rsidRPr="00C526F4" w:rsidSect="00657EE6">
      <w:headerReference w:type="default" r:id="rId17"/>
      <w:footerReference w:type="default" r:id="rId18"/>
      <w:pgSz w:w="11906" w:h="16838"/>
      <w:pgMar w:top="1985" w:right="1417" w:bottom="71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8D72" w14:textId="77777777" w:rsidR="00267307" w:rsidRDefault="00267307" w:rsidP="00064035">
      <w:r>
        <w:separator/>
      </w:r>
    </w:p>
  </w:endnote>
  <w:endnote w:type="continuationSeparator" w:id="0">
    <w:p w14:paraId="46C876A3" w14:textId="77777777" w:rsidR="00267307" w:rsidRDefault="00267307" w:rsidP="00064035">
      <w:r>
        <w:continuationSeparator/>
      </w:r>
    </w:p>
  </w:endnote>
  <w:endnote w:type="continuationNotice" w:id="1">
    <w:p w14:paraId="1F413DC2" w14:textId="77777777" w:rsidR="00267307" w:rsidRDefault="00267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54338"/>
      <w:docPartObj>
        <w:docPartGallery w:val="Page Numbers (Bottom of Page)"/>
        <w:docPartUnique/>
      </w:docPartObj>
    </w:sdtPr>
    <w:sdtEndPr/>
    <w:sdtContent>
      <w:p w14:paraId="280807AC" w14:textId="77777777" w:rsidR="00267307" w:rsidRDefault="002673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EA">
          <w:rPr>
            <w:noProof/>
          </w:rPr>
          <w:t>1</w:t>
        </w:r>
        <w:r>
          <w:fldChar w:fldCharType="end"/>
        </w:r>
      </w:p>
    </w:sdtContent>
  </w:sdt>
  <w:p w14:paraId="280807AD" w14:textId="77777777" w:rsidR="00267307" w:rsidRDefault="0026730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925FA" w14:textId="77777777" w:rsidR="00267307" w:rsidRDefault="00267307" w:rsidP="00064035">
      <w:r>
        <w:separator/>
      </w:r>
    </w:p>
  </w:footnote>
  <w:footnote w:type="continuationSeparator" w:id="0">
    <w:p w14:paraId="6D81ACAF" w14:textId="77777777" w:rsidR="00267307" w:rsidRDefault="00267307" w:rsidP="00064035">
      <w:r>
        <w:continuationSeparator/>
      </w:r>
    </w:p>
  </w:footnote>
  <w:footnote w:type="continuationNotice" w:id="1">
    <w:p w14:paraId="558146E7" w14:textId="77777777" w:rsidR="00267307" w:rsidRDefault="00267307"/>
  </w:footnote>
  <w:footnote w:id="2">
    <w:p w14:paraId="280807B0" w14:textId="7DB8E85E" w:rsidR="00267307" w:rsidRPr="00F73116" w:rsidRDefault="00267307">
      <w:pPr>
        <w:pStyle w:val="Notedebasdepage"/>
      </w:pPr>
      <w:r>
        <w:rPr>
          <w:rStyle w:val="Appelnotedebasdep"/>
        </w:rPr>
        <w:footnoteRef/>
      </w:r>
      <w:r>
        <w:t xml:space="preserve"> Les </w:t>
      </w:r>
      <w:r w:rsidR="00E85443">
        <w:t>domaines</w:t>
      </w:r>
      <w:r>
        <w:t xml:space="preserve"> de compétence propres aux commissions communautaires ne sont pas traitées dans le cadre de cette </w:t>
      </w:r>
      <w:r w:rsidR="00E85443">
        <w:t>recommandation</w:t>
      </w:r>
      <w:r>
        <w:t>.</w:t>
      </w:r>
    </w:p>
  </w:footnote>
  <w:footnote w:id="3">
    <w:p w14:paraId="38D01A83" w14:textId="6E221CED" w:rsidR="00E85443" w:rsidRPr="00576677" w:rsidRDefault="00267307">
      <w:pPr>
        <w:pStyle w:val="Notedebasdepage"/>
      </w:pPr>
      <w:r>
        <w:rPr>
          <w:rStyle w:val="Appelnotedebasdep"/>
        </w:rPr>
        <w:footnoteRef/>
      </w:r>
      <w:r>
        <w:t xml:space="preserve"> Voir par exemple : </w:t>
      </w:r>
      <w:hyperlink r:id="rId1" w:history="1">
        <w:r w:rsidRPr="00732032">
          <w:rPr>
            <w:rStyle w:val="Lienhypertexte"/>
          </w:rPr>
          <w:t>http://www.unia.be/fr/legislation-et-recommandations/recommandations-dunia/galite-de-traitement-sur-le-marche-locatif-prive-en-region-de-bruxelles-capitale-suite-a-lentree-en-vigueur-de-la-sixieme-reforme-de-letat</w:t>
        </w:r>
      </w:hyperlink>
    </w:p>
  </w:footnote>
  <w:footnote w:id="4">
    <w:p w14:paraId="500250E5" w14:textId="051EA220" w:rsidR="00267307" w:rsidRPr="0052381D" w:rsidRDefault="00267307" w:rsidP="0052381D">
      <w:pPr>
        <w:pStyle w:val="Notedebasdepage"/>
      </w:pPr>
      <w:r>
        <w:rPr>
          <w:rStyle w:val="Appelnotedebasdep"/>
        </w:rPr>
        <w:footnoteRef/>
      </w:r>
      <w:r>
        <w:t xml:space="preserve"> Parlement régional bruxellois, </w:t>
      </w:r>
      <w:hyperlink r:id="rId2" w:history="1">
        <w:r w:rsidRPr="0052381D">
          <w:rPr>
            <w:rStyle w:val="Lienhypertexte"/>
          </w:rPr>
          <w:t>C.R.I.</w:t>
        </w:r>
        <w:r w:rsidRPr="0052381D">
          <w:rPr>
            <w:rStyle w:val="Lienhypertexte"/>
          </w:rPr>
          <w:t xml:space="preserve"> </w:t>
        </w:r>
        <w:r w:rsidRPr="0052381D">
          <w:rPr>
            <w:rStyle w:val="Lienhypertexte"/>
          </w:rPr>
          <w:t>N° 34 – Session 2007-2008</w:t>
        </w:r>
      </w:hyperlink>
      <w:r>
        <w:t xml:space="preserve">, </w:t>
      </w:r>
      <w:r w:rsidRPr="0052381D">
        <w:t>Séance plénière du jeudi 17 juillet 2008 (Séance du matin)</w:t>
      </w:r>
      <w:r>
        <w:t>, p.33,</w:t>
      </w:r>
      <w:r w:rsidRPr="0052381D">
        <w:t xml:space="preserve"> </w:t>
      </w:r>
      <w:r>
        <w:t xml:space="preserve">et </w:t>
      </w:r>
      <w:hyperlink r:id="rId3" w:history="1">
        <w:r w:rsidRPr="0052381D">
          <w:rPr>
            <w:rStyle w:val="Lienhypertexte"/>
          </w:rPr>
          <w:t>C.R.I. N° 3</w:t>
        </w:r>
        <w:r>
          <w:rPr>
            <w:rStyle w:val="Lienhypertexte"/>
          </w:rPr>
          <w:t>5</w:t>
        </w:r>
        <w:r w:rsidRPr="0052381D">
          <w:rPr>
            <w:rStyle w:val="Lienhypertexte"/>
          </w:rPr>
          <w:t xml:space="preserve"> –</w:t>
        </w:r>
        <w:r w:rsidRPr="0052381D">
          <w:rPr>
            <w:rStyle w:val="Lienhypertexte"/>
          </w:rPr>
          <w:t xml:space="preserve"> </w:t>
        </w:r>
        <w:r w:rsidRPr="0052381D">
          <w:rPr>
            <w:rStyle w:val="Lienhypertexte"/>
          </w:rPr>
          <w:t>Sess</w:t>
        </w:r>
        <w:r w:rsidRPr="0052381D">
          <w:rPr>
            <w:rStyle w:val="Lienhypertexte"/>
          </w:rPr>
          <w:t>i</w:t>
        </w:r>
        <w:r w:rsidRPr="0052381D">
          <w:rPr>
            <w:rStyle w:val="Lienhypertexte"/>
          </w:rPr>
          <w:t>on 2007-2008</w:t>
        </w:r>
      </w:hyperlink>
      <w:r>
        <w:t xml:space="preserve">, </w:t>
      </w:r>
      <w:r w:rsidRPr="0052381D">
        <w:t>Séance plénière du jeudi 17 juillet 2008 (Séance de l’après-midi)</w:t>
      </w:r>
      <w:r>
        <w:t>, p.12.</w:t>
      </w:r>
    </w:p>
  </w:footnote>
  <w:footnote w:id="5">
    <w:p w14:paraId="57742379" w14:textId="379206FF" w:rsidR="00E85443" w:rsidRPr="00576677" w:rsidRDefault="0026730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hyperlink r:id="rId4" w:history="1">
        <w:r w:rsidRPr="009B4F1A">
          <w:rPr>
            <w:rStyle w:val="Lienhypertexte"/>
          </w:rPr>
          <w:t>http://www.unia.be/fr/legislation-et-recommandations/recommandations-dunia/galite-de-traitement-sur-le-marche-locatif-prive-en-region-de-bruxelles-capitale-suite-a-lentree-en-vigueur-de-la-sixieme-reforme-de-letat</w:t>
        </w:r>
      </w:hyperlink>
    </w:p>
  </w:footnote>
  <w:footnote w:id="6">
    <w:p w14:paraId="67305E86" w14:textId="56732F78" w:rsidR="009812D4" w:rsidRDefault="009812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Voir </w:t>
      </w:r>
      <w:hyperlink r:id="rId5" w:history="1">
        <w:r w:rsidRPr="00780AF5">
          <w:rPr>
            <w:rStyle w:val="Lienhypertexte"/>
            <w:lang w:val="fr-BE"/>
          </w:rPr>
          <w:t>http://weblex.irisnet.be/data/crb/doc/2016-17/131771/images.pdf</w:t>
        </w:r>
      </w:hyperlink>
    </w:p>
    <w:p w14:paraId="5C2249E2" w14:textId="77777777" w:rsidR="009812D4" w:rsidRPr="009812D4" w:rsidRDefault="009812D4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07A7" w14:textId="77777777" w:rsidR="00267307" w:rsidRDefault="00267307" w:rsidP="00056789">
    <w:pPr>
      <w:pStyle w:val="En-tte"/>
      <w:rPr>
        <w:rFonts w:ascii="Arial Narrow" w:hAnsi="Arial Narrow"/>
        <w:b/>
        <w:lang w:val="fr-BE"/>
      </w:rPr>
    </w:pPr>
  </w:p>
  <w:p w14:paraId="280807A8" w14:textId="77777777" w:rsidR="00267307" w:rsidRDefault="00267307" w:rsidP="00056789">
    <w:pPr>
      <w:pStyle w:val="En-tte"/>
      <w:rPr>
        <w:rFonts w:ascii="Arial Narrow" w:hAnsi="Arial Narrow"/>
        <w:b/>
        <w:lang w:val="fr-BE"/>
      </w:rPr>
    </w:pPr>
  </w:p>
  <w:p w14:paraId="280807A9" w14:textId="77777777" w:rsidR="00267307" w:rsidRDefault="00267307" w:rsidP="00056789">
    <w:pPr>
      <w:pStyle w:val="En-tte"/>
      <w:rPr>
        <w:rFonts w:ascii="Arial Narrow" w:hAnsi="Arial Narrow"/>
        <w:b/>
        <w:lang w:val="fr-BE"/>
      </w:rPr>
    </w:pPr>
    <w:r>
      <w:rPr>
        <w:noProof/>
        <w:lang w:val="fr-BE" w:eastAsia="fr-BE"/>
      </w:rPr>
      <w:drawing>
        <wp:inline distT="0" distB="0" distL="0" distR="0" wp14:anchorId="280807AE" wp14:editId="280807AF">
          <wp:extent cx="1600010" cy="771277"/>
          <wp:effectExtent l="0" t="0" r="635" b="0"/>
          <wp:docPr id="3" name="Image 3" descr="https://cvg.arxus.eu/COMM/Trans%20Unia%20Express/UNIA-Logo/UNIA_CMYK_NL_FR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cvg.arxus.eu/COMM/Trans%20Unia%20Express/UNIA-Logo/UNIA_CMYK_NL_FR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26" cy="77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807AA" w14:textId="77777777" w:rsidR="00267307" w:rsidRDefault="00267307" w:rsidP="00056789">
    <w:pPr>
      <w:pStyle w:val="En-tte"/>
      <w:rPr>
        <w:rFonts w:ascii="Arial Narrow" w:hAnsi="Arial Narrow"/>
        <w:b/>
        <w:lang w:val="fr-BE"/>
      </w:rPr>
    </w:pPr>
  </w:p>
  <w:p w14:paraId="280807AB" w14:textId="77777777" w:rsidR="00267307" w:rsidRPr="00056789" w:rsidRDefault="00267307" w:rsidP="00056789">
    <w:pPr>
      <w:pStyle w:val="En-tte"/>
      <w:rPr>
        <w:rFonts w:ascii="Arial Narrow" w:hAnsi="Arial Narrow"/>
        <w:b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1E1"/>
    <w:multiLevelType w:val="hybridMultilevel"/>
    <w:tmpl w:val="99666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1B44"/>
    <w:multiLevelType w:val="hybridMultilevel"/>
    <w:tmpl w:val="6FB28DD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A4662"/>
    <w:multiLevelType w:val="multilevel"/>
    <w:tmpl w:val="C91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F7FC2"/>
    <w:multiLevelType w:val="hybridMultilevel"/>
    <w:tmpl w:val="2F2AE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3F53"/>
    <w:multiLevelType w:val="hybridMultilevel"/>
    <w:tmpl w:val="CDDC1FDE"/>
    <w:lvl w:ilvl="0" w:tplc="93C2FED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5D2B"/>
    <w:multiLevelType w:val="hybridMultilevel"/>
    <w:tmpl w:val="10A4BF9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F2BE1"/>
    <w:multiLevelType w:val="hybridMultilevel"/>
    <w:tmpl w:val="19B8EC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744A"/>
    <w:multiLevelType w:val="hybridMultilevel"/>
    <w:tmpl w:val="F47A6FBE"/>
    <w:lvl w:ilvl="0" w:tplc="CC2E9A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024D"/>
    <w:multiLevelType w:val="multilevel"/>
    <w:tmpl w:val="A27C181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387579"/>
    <w:multiLevelType w:val="hybridMultilevel"/>
    <w:tmpl w:val="571AFA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044EF"/>
    <w:multiLevelType w:val="hybridMultilevel"/>
    <w:tmpl w:val="A62A14FA"/>
    <w:lvl w:ilvl="0" w:tplc="FA88FBD8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98" w:hanging="360"/>
      </w:pPr>
    </w:lvl>
    <w:lvl w:ilvl="2" w:tplc="080C001B" w:tentative="1">
      <w:start w:val="1"/>
      <w:numFmt w:val="lowerRoman"/>
      <w:lvlText w:val="%3."/>
      <w:lvlJc w:val="right"/>
      <w:pPr>
        <w:ind w:left="2018" w:hanging="180"/>
      </w:pPr>
    </w:lvl>
    <w:lvl w:ilvl="3" w:tplc="080C000F" w:tentative="1">
      <w:start w:val="1"/>
      <w:numFmt w:val="decimal"/>
      <w:lvlText w:val="%4."/>
      <w:lvlJc w:val="left"/>
      <w:pPr>
        <w:ind w:left="2738" w:hanging="360"/>
      </w:pPr>
    </w:lvl>
    <w:lvl w:ilvl="4" w:tplc="080C0019" w:tentative="1">
      <w:start w:val="1"/>
      <w:numFmt w:val="lowerLetter"/>
      <w:lvlText w:val="%5."/>
      <w:lvlJc w:val="left"/>
      <w:pPr>
        <w:ind w:left="3458" w:hanging="360"/>
      </w:pPr>
    </w:lvl>
    <w:lvl w:ilvl="5" w:tplc="080C001B" w:tentative="1">
      <w:start w:val="1"/>
      <w:numFmt w:val="lowerRoman"/>
      <w:lvlText w:val="%6."/>
      <w:lvlJc w:val="right"/>
      <w:pPr>
        <w:ind w:left="4178" w:hanging="180"/>
      </w:pPr>
    </w:lvl>
    <w:lvl w:ilvl="6" w:tplc="080C000F" w:tentative="1">
      <w:start w:val="1"/>
      <w:numFmt w:val="decimal"/>
      <w:lvlText w:val="%7."/>
      <w:lvlJc w:val="left"/>
      <w:pPr>
        <w:ind w:left="4898" w:hanging="360"/>
      </w:pPr>
    </w:lvl>
    <w:lvl w:ilvl="7" w:tplc="080C0019" w:tentative="1">
      <w:start w:val="1"/>
      <w:numFmt w:val="lowerLetter"/>
      <w:lvlText w:val="%8."/>
      <w:lvlJc w:val="left"/>
      <w:pPr>
        <w:ind w:left="5618" w:hanging="360"/>
      </w:pPr>
    </w:lvl>
    <w:lvl w:ilvl="8" w:tplc="08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94C0A24"/>
    <w:multiLevelType w:val="hybridMultilevel"/>
    <w:tmpl w:val="883853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469C"/>
    <w:multiLevelType w:val="hybridMultilevel"/>
    <w:tmpl w:val="D8EA10CA"/>
    <w:lvl w:ilvl="0" w:tplc="11A2F5B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0C7"/>
    <w:multiLevelType w:val="hybridMultilevel"/>
    <w:tmpl w:val="5282D5AE"/>
    <w:lvl w:ilvl="0" w:tplc="0FEC0BEC">
      <w:start w:val="4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298" w:hanging="360"/>
      </w:pPr>
    </w:lvl>
    <w:lvl w:ilvl="2" w:tplc="080C001B" w:tentative="1">
      <w:start w:val="1"/>
      <w:numFmt w:val="lowerRoman"/>
      <w:lvlText w:val="%3."/>
      <w:lvlJc w:val="right"/>
      <w:pPr>
        <w:ind w:left="2018" w:hanging="180"/>
      </w:pPr>
    </w:lvl>
    <w:lvl w:ilvl="3" w:tplc="080C000F" w:tentative="1">
      <w:start w:val="1"/>
      <w:numFmt w:val="decimal"/>
      <w:lvlText w:val="%4."/>
      <w:lvlJc w:val="left"/>
      <w:pPr>
        <w:ind w:left="2738" w:hanging="360"/>
      </w:pPr>
    </w:lvl>
    <w:lvl w:ilvl="4" w:tplc="080C0019" w:tentative="1">
      <w:start w:val="1"/>
      <w:numFmt w:val="lowerLetter"/>
      <w:lvlText w:val="%5."/>
      <w:lvlJc w:val="left"/>
      <w:pPr>
        <w:ind w:left="3458" w:hanging="360"/>
      </w:pPr>
    </w:lvl>
    <w:lvl w:ilvl="5" w:tplc="080C001B" w:tentative="1">
      <w:start w:val="1"/>
      <w:numFmt w:val="lowerRoman"/>
      <w:lvlText w:val="%6."/>
      <w:lvlJc w:val="right"/>
      <w:pPr>
        <w:ind w:left="4178" w:hanging="180"/>
      </w:pPr>
    </w:lvl>
    <w:lvl w:ilvl="6" w:tplc="080C000F" w:tentative="1">
      <w:start w:val="1"/>
      <w:numFmt w:val="decimal"/>
      <w:lvlText w:val="%7."/>
      <w:lvlJc w:val="left"/>
      <w:pPr>
        <w:ind w:left="4898" w:hanging="360"/>
      </w:pPr>
    </w:lvl>
    <w:lvl w:ilvl="7" w:tplc="080C0019" w:tentative="1">
      <w:start w:val="1"/>
      <w:numFmt w:val="lowerLetter"/>
      <w:lvlText w:val="%8."/>
      <w:lvlJc w:val="left"/>
      <w:pPr>
        <w:ind w:left="5618" w:hanging="360"/>
      </w:pPr>
    </w:lvl>
    <w:lvl w:ilvl="8" w:tplc="08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C057A18"/>
    <w:multiLevelType w:val="hybridMultilevel"/>
    <w:tmpl w:val="23FE1C6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53087"/>
    <w:multiLevelType w:val="hybridMultilevel"/>
    <w:tmpl w:val="DEB0BB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B1204"/>
    <w:multiLevelType w:val="hybridMultilevel"/>
    <w:tmpl w:val="8822E332"/>
    <w:lvl w:ilvl="0" w:tplc="128CDC54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F558F"/>
    <w:multiLevelType w:val="hybridMultilevel"/>
    <w:tmpl w:val="489854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410F5"/>
    <w:multiLevelType w:val="hybridMultilevel"/>
    <w:tmpl w:val="6C44C83A"/>
    <w:lvl w:ilvl="0" w:tplc="40A0C1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E7CE2"/>
    <w:multiLevelType w:val="hybridMultilevel"/>
    <w:tmpl w:val="B87CDB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04F96"/>
    <w:multiLevelType w:val="hybridMultilevel"/>
    <w:tmpl w:val="04628C60"/>
    <w:lvl w:ilvl="0" w:tplc="128CDC54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496DA6"/>
    <w:multiLevelType w:val="hybridMultilevel"/>
    <w:tmpl w:val="9D46044A"/>
    <w:lvl w:ilvl="0" w:tplc="B68822C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95469"/>
    <w:multiLevelType w:val="hybridMultilevel"/>
    <w:tmpl w:val="15A6D79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F41EAB"/>
    <w:multiLevelType w:val="hybridMultilevel"/>
    <w:tmpl w:val="71B6B5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E4C9A"/>
    <w:multiLevelType w:val="hybridMultilevel"/>
    <w:tmpl w:val="F76459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6DB0"/>
    <w:multiLevelType w:val="hybridMultilevel"/>
    <w:tmpl w:val="9C24B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A6586"/>
    <w:multiLevelType w:val="hybridMultilevel"/>
    <w:tmpl w:val="19EA9864"/>
    <w:lvl w:ilvl="0" w:tplc="7B0CE6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F0844"/>
    <w:multiLevelType w:val="hybridMultilevel"/>
    <w:tmpl w:val="53822E9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4631C"/>
    <w:multiLevelType w:val="hybridMultilevel"/>
    <w:tmpl w:val="D39E001C"/>
    <w:lvl w:ilvl="0" w:tplc="128CDC54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CA5475"/>
    <w:multiLevelType w:val="hybridMultilevel"/>
    <w:tmpl w:val="940CFE4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92401"/>
    <w:multiLevelType w:val="multilevel"/>
    <w:tmpl w:val="02AA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23BC8"/>
    <w:multiLevelType w:val="hybridMultilevel"/>
    <w:tmpl w:val="AB487A46"/>
    <w:lvl w:ilvl="0" w:tplc="5AF62C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E4B9D"/>
    <w:multiLevelType w:val="hybridMultilevel"/>
    <w:tmpl w:val="2E1A2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A5779"/>
    <w:multiLevelType w:val="hybridMultilevel"/>
    <w:tmpl w:val="FAA63462"/>
    <w:lvl w:ilvl="0" w:tplc="128CDC5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DB137D"/>
    <w:multiLevelType w:val="multilevel"/>
    <w:tmpl w:val="AAF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20EDE"/>
    <w:multiLevelType w:val="hybridMultilevel"/>
    <w:tmpl w:val="049E793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1"/>
  </w:num>
  <w:num w:numId="5">
    <w:abstractNumId w:val="5"/>
  </w:num>
  <w:num w:numId="6">
    <w:abstractNumId w:val="27"/>
  </w:num>
  <w:num w:numId="7">
    <w:abstractNumId w:val="12"/>
  </w:num>
  <w:num w:numId="8">
    <w:abstractNumId w:val="4"/>
  </w:num>
  <w:num w:numId="9">
    <w:abstractNumId w:val="25"/>
  </w:num>
  <w:num w:numId="10">
    <w:abstractNumId w:val="21"/>
  </w:num>
  <w:num w:numId="11">
    <w:abstractNumId w:val="8"/>
  </w:num>
  <w:num w:numId="12">
    <w:abstractNumId w:val="18"/>
  </w:num>
  <w:num w:numId="13">
    <w:abstractNumId w:val="32"/>
  </w:num>
  <w:num w:numId="14">
    <w:abstractNumId w:val="28"/>
  </w:num>
  <w:num w:numId="15">
    <w:abstractNumId w:val="26"/>
  </w:num>
  <w:num w:numId="16">
    <w:abstractNumId w:val="16"/>
  </w:num>
  <w:num w:numId="17">
    <w:abstractNumId w:val="14"/>
  </w:num>
  <w:num w:numId="18">
    <w:abstractNumId w:val="0"/>
  </w:num>
  <w:num w:numId="19">
    <w:abstractNumId w:val="2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35"/>
  </w:num>
  <w:num w:numId="24">
    <w:abstractNumId w:val="2"/>
  </w:num>
  <w:num w:numId="25">
    <w:abstractNumId w:val="23"/>
  </w:num>
  <w:num w:numId="26">
    <w:abstractNumId w:val="3"/>
  </w:num>
  <w:num w:numId="27">
    <w:abstractNumId w:val="15"/>
  </w:num>
  <w:num w:numId="28">
    <w:abstractNumId w:val="30"/>
  </w:num>
  <w:num w:numId="29">
    <w:abstractNumId w:val="6"/>
  </w:num>
  <w:num w:numId="30">
    <w:abstractNumId w:val="33"/>
  </w:num>
  <w:num w:numId="31">
    <w:abstractNumId w:val="20"/>
  </w:num>
  <w:num w:numId="32">
    <w:abstractNumId w:val="13"/>
  </w:num>
  <w:num w:numId="33">
    <w:abstractNumId w:val="10"/>
  </w:num>
  <w:num w:numId="34">
    <w:abstractNumId w:val="34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35"/>
    <w:rsid w:val="00001FDB"/>
    <w:rsid w:val="00004B74"/>
    <w:rsid w:val="000139D1"/>
    <w:rsid w:val="00021994"/>
    <w:rsid w:val="00023C80"/>
    <w:rsid w:val="000258B2"/>
    <w:rsid w:val="00026EE9"/>
    <w:rsid w:val="0004354E"/>
    <w:rsid w:val="00056789"/>
    <w:rsid w:val="00064035"/>
    <w:rsid w:val="00065412"/>
    <w:rsid w:val="000718E2"/>
    <w:rsid w:val="000748AE"/>
    <w:rsid w:val="00077CBA"/>
    <w:rsid w:val="000A3FD3"/>
    <w:rsid w:val="000B0605"/>
    <w:rsid w:val="000B1184"/>
    <w:rsid w:val="000B42CD"/>
    <w:rsid w:val="000C29C7"/>
    <w:rsid w:val="000C4A78"/>
    <w:rsid w:val="000D0DFE"/>
    <w:rsid w:val="000F2C3B"/>
    <w:rsid w:val="000F340A"/>
    <w:rsid w:val="000F7553"/>
    <w:rsid w:val="00102700"/>
    <w:rsid w:val="001052FA"/>
    <w:rsid w:val="00113319"/>
    <w:rsid w:val="001212AB"/>
    <w:rsid w:val="00130A0B"/>
    <w:rsid w:val="0013119A"/>
    <w:rsid w:val="001436B0"/>
    <w:rsid w:val="00153398"/>
    <w:rsid w:val="00157A59"/>
    <w:rsid w:val="00157D27"/>
    <w:rsid w:val="00161F23"/>
    <w:rsid w:val="001647AC"/>
    <w:rsid w:val="001732ED"/>
    <w:rsid w:val="00175732"/>
    <w:rsid w:val="00192327"/>
    <w:rsid w:val="001A32FE"/>
    <w:rsid w:val="001A5863"/>
    <w:rsid w:val="001A7AA7"/>
    <w:rsid w:val="001B0357"/>
    <w:rsid w:val="001B5896"/>
    <w:rsid w:val="001C1977"/>
    <w:rsid w:val="001C4B3B"/>
    <w:rsid w:val="001C7FB8"/>
    <w:rsid w:val="001D170F"/>
    <w:rsid w:val="001D3874"/>
    <w:rsid w:val="001D6F63"/>
    <w:rsid w:val="001D72E7"/>
    <w:rsid w:val="001F20C4"/>
    <w:rsid w:val="001F748D"/>
    <w:rsid w:val="00205CD2"/>
    <w:rsid w:val="00210437"/>
    <w:rsid w:val="002112A9"/>
    <w:rsid w:val="002135A9"/>
    <w:rsid w:val="00213CB9"/>
    <w:rsid w:val="0022057B"/>
    <w:rsid w:val="00226A89"/>
    <w:rsid w:val="00235AE2"/>
    <w:rsid w:val="00242F2D"/>
    <w:rsid w:val="00243321"/>
    <w:rsid w:val="002537C1"/>
    <w:rsid w:val="00256509"/>
    <w:rsid w:val="00260220"/>
    <w:rsid w:val="002614EE"/>
    <w:rsid w:val="00262592"/>
    <w:rsid w:val="00263910"/>
    <w:rsid w:val="00267307"/>
    <w:rsid w:val="00271060"/>
    <w:rsid w:val="00281622"/>
    <w:rsid w:val="00295935"/>
    <w:rsid w:val="002B2D71"/>
    <w:rsid w:val="002C4528"/>
    <w:rsid w:val="002E43B0"/>
    <w:rsid w:val="002E4687"/>
    <w:rsid w:val="002F27A5"/>
    <w:rsid w:val="00303C2B"/>
    <w:rsid w:val="00304C39"/>
    <w:rsid w:val="00316EC3"/>
    <w:rsid w:val="00320F9B"/>
    <w:rsid w:val="0032204A"/>
    <w:rsid w:val="003332AD"/>
    <w:rsid w:val="00333F03"/>
    <w:rsid w:val="00340DA7"/>
    <w:rsid w:val="003447E1"/>
    <w:rsid w:val="00345F59"/>
    <w:rsid w:val="0035325E"/>
    <w:rsid w:val="0035329F"/>
    <w:rsid w:val="00363B5D"/>
    <w:rsid w:val="003674D2"/>
    <w:rsid w:val="003702B4"/>
    <w:rsid w:val="00372088"/>
    <w:rsid w:val="00390317"/>
    <w:rsid w:val="00393083"/>
    <w:rsid w:val="003A7552"/>
    <w:rsid w:val="003B0D2A"/>
    <w:rsid w:val="003B192F"/>
    <w:rsid w:val="003C1A93"/>
    <w:rsid w:val="003D1943"/>
    <w:rsid w:val="003D5FAA"/>
    <w:rsid w:val="003E3966"/>
    <w:rsid w:val="003F1544"/>
    <w:rsid w:val="003F292D"/>
    <w:rsid w:val="003F3596"/>
    <w:rsid w:val="003F479E"/>
    <w:rsid w:val="00400504"/>
    <w:rsid w:val="0040371A"/>
    <w:rsid w:val="00403AA8"/>
    <w:rsid w:val="00404E27"/>
    <w:rsid w:val="0041251A"/>
    <w:rsid w:val="004171E3"/>
    <w:rsid w:val="00423C57"/>
    <w:rsid w:val="00425CF3"/>
    <w:rsid w:val="004317B8"/>
    <w:rsid w:val="00452A25"/>
    <w:rsid w:val="00452B9D"/>
    <w:rsid w:val="00452C14"/>
    <w:rsid w:val="00462DF6"/>
    <w:rsid w:val="0046615F"/>
    <w:rsid w:val="00466C5C"/>
    <w:rsid w:val="00470EB1"/>
    <w:rsid w:val="004713F0"/>
    <w:rsid w:val="00477011"/>
    <w:rsid w:val="004868A4"/>
    <w:rsid w:val="004B34DD"/>
    <w:rsid w:val="004B6749"/>
    <w:rsid w:val="004C5964"/>
    <w:rsid w:val="004E77FB"/>
    <w:rsid w:val="00500388"/>
    <w:rsid w:val="005049F2"/>
    <w:rsid w:val="005067BC"/>
    <w:rsid w:val="0051076E"/>
    <w:rsid w:val="00512859"/>
    <w:rsid w:val="0052381D"/>
    <w:rsid w:val="00525996"/>
    <w:rsid w:val="0054388D"/>
    <w:rsid w:val="0054754A"/>
    <w:rsid w:val="00547A5E"/>
    <w:rsid w:val="00566CF7"/>
    <w:rsid w:val="005737DB"/>
    <w:rsid w:val="00576677"/>
    <w:rsid w:val="00581B19"/>
    <w:rsid w:val="005824E9"/>
    <w:rsid w:val="00585DD1"/>
    <w:rsid w:val="0058728A"/>
    <w:rsid w:val="00590B3A"/>
    <w:rsid w:val="00595452"/>
    <w:rsid w:val="005A3C36"/>
    <w:rsid w:val="005A3FEA"/>
    <w:rsid w:val="005A514C"/>
    <w:rsid w:val="005A5C58"/>
    <w:rsid w:val="005B2279"/>
    <w:rsid w:val="005B34B7"/>
    <w:rsid w:val="005B578F"/>
    <w:rsid w:val="005B5E10"/>
    <w:rsid w:val="005B6726"/>
    <w:rsid w:val="005B6947"/>
    <w:rsid w:val="005C4B4C"/>
    <w:rsid w:val="005C7E64"/>
    <w:rsid w:val="005D0C02"/>
    <w:rsid w:val="005D1377"/>
    <w:rsid w:val="005D51D0"/>
    <w:rsid w:val="005E341A"/>
    <w:rsid w:val="005F385A"/>
    <w:rsid w:val="005F4889"/>
    <w:rsid w:val="005F7B38"/>
    <w:rsid w:val="00603AF8"/>
    <w:rsid w:val="0061039A"/>
    <w:rsid w:val="00630000"/>
    <w:rsid w:val="00631DC2"/>
    <w:rsid w:val="00633E00"/>
    <w:rsid w:val="00644F21"/>
    <w:rsid w:val="00646C17"/>
    <w:rsid w:val="006475BE"/>
    <w:rsid w:val="006520E9"/>
    <w:rsid w:val="00656993"/>
    <w:rsid w:val="00657EE6"/>
    <w:rsid w:val="0066016B"/>
    <w:rsid w:val="006630CD"/>
    <w:rsid w:val="0066479B"/>
    <w:rsid w:val="006715BE"/>
    <w:rsid w:val="006834ED"/>
    <w:rsid w:val="006840AF"/>
    <w:rsid w:val="00697E51"/>
    <w:rsid w:val="006A0409"/>
    <w:rsid w:val="006A05BC"/>
    <w:rsid w:val="006B0715"/>
    <w:rsid w:val="006C01A8"/>
    <w:rsid w:val="006C5E6F"/>
    <w:rsid w:val="006C6580"/>
    <w:rsid w:val="006D2A39"/>
    <w:rsid w:val="006D4288"/>
    <w:rsid w:val="006D589A"/>
    <w:rsid w:val="006D614F"/>
    <w:rsid w:val="006E4A8F"/>
    <w:rsid w:val="006F21F9"/>
    <w:rsid w:val="006F2403"/>
    <w:rsid w:val="006F4E71"/>
    <w:rsid w:val="00704E26"/>
    <w:rsid w:val="00710037"/>
    <w:rsid w:val="00715251"/>
    <w:rsid w:val="007164CA"/>
    <w:rsid w:val="00716CB7"/>
    <w:rsid w:val="0073196D"/>
    <w:rsid w:val="00733844"/>
    <w:rsid w:val="00735D00"/>
    <w:rsid w:val="00737337"/>
    <w:rsid w:val="0076617E"/>
    <w:rsid w:val="007874BF"/>
    <w:rsid w:val="00793866"/>
    <w:rsid w:val="007A0F25"/>
    <w:rsid w:val="007A402A"/>
    <w:rsid w:val="007A772B"/>
    <w:rsid w:val="007A7CEB"/>
    <w:rsid w:val="007B64C1"/>
    <w:rsid w:val="007C73FA"/>
    <w:rsid w:val="007E071F"/>
    <w:rsid w:val="007E4C47"/>
    <w:rsid w:val="007F01ED"/>
    <w:rsid w:val="007F01EE"/>
    <w:rsid w:val="007F4450"/>
    <w:rsid w:val="00801586"/>
    <w:rsid w:val="008031EA"/>
    <w:rsid w:val="00810C52"/>
    <w:rsid w:val="0082028E"/>
    <w:rsid w:val="008229A0"/>
    <w:rsid w:val="008254AC"/>
    <w:rsid w:val="008275D2"/>
    <w:rsid w:val="008357C6"/>
    <w:rsid w:val="00835A81"/>
    <w:rsid w:val="008434CA"/>
    <w:rsid w:val="0085289E"/>
    <w:rsid w:val="0088603A"/>
    <w:rsid w:val="008871B2"/>
    <w:rsid w:val="00890A13"/>
    <w:rsid w:val="00890D25"/>
    <w:rsid w:val="00896E0E"/>
    <w:rsid w:val="00897979"/>
    <w:rsid w:val="008A2F77"/>
    <w:rsid w:val="008B79A9"/>
    <w:rsid w:val="008C6543"/>
    <w:rsid w:val="008F3BBF"/>
    <w:rsid w:val="00906159"/>
    <w:rsid w:val="00906304"/>
    <w:rsid w:val="00914BD9"/>
    <w:rsid w:val="009153C8"/>
    <w:rsid w:val="00915E5E"/>
    <w:rsid w:val="00916184"/>
    <w:rsid w:val="00916567"/>
    <w:rsid w:val="00920A03"/>
    <w:rsid w:val="0092307E"/>
    <w:rsid w:val="00933752"/>
    <w:rsid w:val="0094621E"/>
    <w:rsid w:val="00951809"/>
    <w:rsid w:val="00965211"/>
    <w:rsid w:val="00966FF1"/>
    <w:rsid w:val="009812D4"/>
    <w:rsid w:val="00984292"/>
    <w:rsid w:val="00984A4D"/>
    <w:rsid w:val="00984EE4"/>
    <w:rsid w:val="00984EE6"/>
    <w:rsid w:val="009909CD"/>
    <w:rsid w:val="00995027"/>
    <w:rsid w:val="00995CEB"/>
    <w:rsid w:val="00995D3A"/>
    <w:rsid w:val="009A1812"/>
    <w:rsid w:val="009B18B2"/>
    <w:rsid w:val="009B334F"/>
    <w:rsid w:val="009C3BB5"/>
    <w:rsid w:val="009D16CA"/>
    <w:rsid w:val="009D2FF1"/>
    <w:rsid w:val="009D5348"/>
    <w:rsid w:val="009D53AD"/>
    <w:rsid w:val="009D60EA"/>
    <w:rsid w:val="009E1FDB"/>
    <w:rsid w:val="009E2A39"/>
    <w:rsid w:val="009F7CAD"/>
    <w:rsid w:val="00A009B1"/>
    <w:rsid w:val="00A210FD"/>
    <w:rsid w:val="00A26237"/>
    <w:rsid w:val="00A27EF2"/>
    <w:rsid w:val="00A351A7"/>
    <w:rsid w:val="00A43A7E"/>
    <w:rsid w:val="00A50B6E"/>
    <w:rsid w:val="00A514FA"/>
    <w:rsid w:val="00A51827"/>
    <w:rsid w:val="00A64015"/>
    <w:rsid w:val="00A6592A"/>
    <w:rsid w:val="00A76292"/>
    <w:rsid w:val="00A8573A"/>
    <w:rsid w:val="00A94CF1"/>
    <w:rsid w:val="00AA3DB2"/>
    <w:rsid w:val="00AB029F"/>
    <w:rsid w:val="00AB3DCB"/>
    <w:rsid w:val="00AB3FB5"/>
    <w:rsid w:val="00AB7035"/>
    <w:rsid w:val="00AC34B6"/>
    <w:rsid w:val="00AD1D9E"/>
    <w:rsid w:val="00AD29C8"/>
    <w:rsid w:val="00AD5810"/>
    <w:rsid w:val="00AE75E8"/>
    <w:rsid w:val="00AF17FF"/>
    <w:rsid w:val="00AF276C"/>
    <w:rsid w:val="00AF6A85"/>
    <w:rsid w:val="00B01347"/>
    <w:rsid w:val="00B11F78"/>
    <w:rsid w:val="00B142A6"/>
    <w:rsid w:val="00B14BA2"/>
    <w:rsid w:val="00B17A20"/>
    <w:rsid w:val="00B2521D"/>
    <w:rsid w:val="00B431B6"/>
    <w:rsid w:val="00B53B65"/>
    <w:rsid w:val="00B613C6"/>
    <w:rsid w:val="00B632D5"/>
    <w:rsid w:val="00B63855"/>
    <w:rsid w:val="00B6439A"/>
    <w:rsid w:val="00B64555"/>
    <w:rsid w:val="00B6632D"/>
    <w:rsid w:val="00B71E56"/>
    <w:rsid w:val="00B72231"/>
    <w:rsid w:val="00B80DB5"/>
    <w:rsid w:val="00B80F22"/>
    <w:rsid w:val="00B856E1"/>
    <w:rsid w:val="00B933D6"/>
    <w:rsid w:val="00BA507E"/>
    <w:rsid w:val="00BA5C5A"/>
    <w:rsid w:val="00BB7DEB"/>
    <w:rsid w:val="00BD21D7"/>
    <w:rsid w:val="00BE54C5"/>
    <w:rsid w:val="00BF04ED"/>
    <w:rsid w:val="00BF738E"/>
    <w:rsid w:val="00C1190A"/>
    <w:rsid w:val="00C23C15"/>
    <w:rsid w:val="00C45D46"/>
    <w:rsid w:val="00C526F4"/>
    <w:rsid w:val="00C5796E"/>
    <w:rsid w:val="00C85568"/>
    <w:rsid w:val="00C86534"/>
    <w:rsid w:val="00C92D00"/>
    <w:rsid w:val="00C94180"/>
    <w:rsid w:val="00CC44DE"/>
    <w:rsid w:val="00CC6C3A"/>
    <w:rsid w:val="00CE78ED"/>
    <w:rsid w:val="00D055BA"/>
    <w:rsid w:val="00D12D79"/>
    <w:rsid w:val="00D13FB2"/>
    <w:rsid w:val="00D16DE9"/>
    <w:rsid w:val="00D21599"/>
    <w:rsid w:val="00D229AF"/>
    <w:rsid w:val="00D315F6"/>
    <w:rsid w:val="00D36745"/>
    <w:rsid w:val="00D444F8"/>
    <w:rsid w:val="00D4508A"/>
    <w:rsid w:val="00D47C93"/>
    <w:rsid w:val="00D56445"/>
    <w:rsid w:val="00D5775F"/>
    <w:rsid w:val="00D62FC6"/>
    <w:rsid w:val="00D86CE6"/>
    <w:rsid w:val="00DA2C37"/>
    <w:rsid w:val="00DC1074"/>
    <w:rsid w:val="00DC1DCC"/>
    <w:rsid w:val="00DC33DB"/>
    <w:rsid w:val="00DE6135"/>
    <w:rsid w:val="00DE7566"/>
    <w:rsid w:val="00DF3679"/>
    <w:rsid w:val="00DF4EC6"/>
    <w:rsid w:val="00DF5B4B"/>
    <w:rsid w:val="00E01CF5"/>
    <w:rsid w:val="00E040A8"/>
    <w:rsid w:val="00E05132"/>
    <w:rsid w:val="00E12197"/>
    <w:rsid w:val="00E30F7A"/>
    <w:rsid w:val="00E311F9"/>
    <w:rsid w:val="00E344E2"/>
    <w:rsid w:val="00E42E90"/>
    <w:rsid w:val="00E43684"/>
    <w:rsid w:val="00E53BF1"/>
    <w:rsid w:val="00E56679"/>
    <w:rsid w:val="00E6043C"/>
    <w:rsid w:val="00E60ABC"/>
    <w:rsid w:val="00E61C89"/>
    <w:rsid w:val="00E67739"/>
    <w:rsid w:val="00E72534"/>
    <w:rsid w:val="00E763D1"/>
    <w:rsid w:val="00E8337A"/>
    <w:rsid w:val="00E85189"/>
    <w:rsid w:val="00E85443"/>
    <w:rsid w:val="00E85EE6"/>
    <w:rsid w:val="00E9063D"/>
    <w:rsid w:val="00E91DC8"/>
    <w:rsid w:val="00E94763"/>
    <w:rsid w:val="00E9622A"/>
    <w:rsid w:val="00EA0A92"/>
    <w:rsid w:val="00EB134F"/>
    <w:rsid w:val="00EB2EAB"/>
    <w:rsid w:val="00EC1044"/>
    <w:rsid w:val="00ED2268"/>
    <w:rsid w:val="00ED4200"/>
    <w:rsid w:val="00EE0EFB"/>
    <w:rsid w:val="00EF1EF2"/>
    <w:rsid w:val="00EF6C67"/>
    <w:rsid w:val="00EF6DEC"/>
    <w:rsid w:val="00F02263"/>
    <w:rsid w:val="00F07B52"/>
    <w:rsid w:val="00F07CAE"/>
    <w:rsid w:val="00F109BF"/>
    <w:rsid w:val="00F113AC"/>
    <w:rsid w:val="00F219EA"/>
    <w:rsid w:val="00F236F3"/>
    <w:rsid w:val="00F24C1A"/>
    <w:rsid w:val="00F37898"/>
    <w:rsid w:val="00F46A3B"/>
    <w:rsid w:val="00F57838"/>
    <w:rsid w:val="00F631A5"/>
    <w:rsid w:val="00F676C9"/>
    <w:rsid w:val="00F73116"/>
    <w:rsid w:val="00F77C22"/>
    <w:rsid w:val="00F81971"/>
    <w:rsid w:val="00F924E6"/>
    <w:rsid w:val="00FA765A"/>
    <w:rsid w:val="00FB7BEE"/>
    <w:rsid w:val="00FC0217"/>
    <w:rsid w:val="00FD00B1"/>
    <w:rsid w:val="00FD56A1"/>
    <w:rsid w:val="00FD7019"/>
    <w:rsid w:val="00FF0BE4"/>
    <w:rsid w:val="00FF476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080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4292"/>
    <w:pPr>
      <w:keepNext/>
      <w:keepLines/>
      <w:numPr>
        <w:numId w:val="11"/>
      </w:numPr>
      <w:spacing w:before="480"/>
      <w:outlineLvl w:val="0"/>
    </w:pPr>
    <w:rPr>
      <w:rFonts w:asciiTheme="minorHAnsi" w:eastAsiaTheme="majorEastAsia" w:hAnsiTheme="minorHAnsi" w:cstheme="majorBidi"/>
      <w:b/>
      <w:bCs/>
      <w:caps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6726"/>
    <w:pPr>
      <w:keepNext/>
      <w:keepLines/>
      <w:numPr>
        <w:ilvl w:val="1"/>
        <w:numId w:val="11"/>
      </w:numPr>
      <w:tabs>
        <w:tab w:val="left" w:pos="993"/>
      </w:tabs>
      <w:spacing w:before="200"/>
      <w:outlineLvl w:val="1"/>
    </w:pPr>
    <w:rPr>
      <w:rFonts w:asciiTheme="minorHAnsi" w:eastAsiaTheme="majorEastAsia" w:hAnsiTheme="minorHAnsi" w:cstheme="majorBidi"/>
      <w:b/>
      <w:bCs/>
      <w:smallCaps/>
      <w:u w:val="single"/>
      <w:lang w:val="nl-N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4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64035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640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6403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064035"/>
    <w:rPr>
      <w:vertAlign w:val="superscript"/>
    </w:rPr>
  </w:style>
  <w:style w:type="character" w:styleId="Accentuation">
    <w:name w:val="Emphasis"/>
    <w:uiPriority w:val="20"/>
    <w:qFormat/>
    <w:rsid w:val="00064035"/>
    <w:rPr>
      <w:i/>
      <w:iCs/>
    </w:rPr>
  </w:style>
  <w:style w:type="paragraph" w:styleId="En-tte">
    <w:name w:val="header"/>
    <w:basedOn w:val="Normal"/>
    <w:link w:val="En-tteCar"/>
    <w:rsid w:val="000640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40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64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0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64035"/>
    <w:pPr>
      <w:ind w:left="720"/>
      <w:contextualSpacing/>
    </w:pPr>
  </w:style>
  <w:style w:type="character" w:customStyle="1" w:styleId="st">
    <w:name w:val="st"/>
    <w:basedOn w:val="Policepardfaut"/>
    <w:rsid w:val="00064035"/>
  </w:style>
  <w:style w:type="character" w:styleId="Marquedecommentaire">
    <w:name w:val="annotation reference"/>
    <w:basedOn w:val="Policepardfaut"/>
    <w:uiPriority w:val="99"/>
    <w:rsid w:val="00064035"/>
    <w:rPr>
      <w:sz w:val="16"/>
      <w:szCs w:val="16"/>
    </w:rPr>
  </w:style>
  <w:style w:type="paragraph" w:styleId="Commentaire">
    <w:name w:val="annotation text"/>
    <w:basedOn w:val="Normal"/>
    <w:link w:val="CommentaireCar"/>
    <w:rsid w:val="000640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6403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ct-nat">
    <w:name w:val="act-nat"/>
    <w:basedOn w:val="Policepardfaut"/>
    <w:rsid w:val="00064035"/>
  </w:style>
  <w:style w:type="character" w:customStyle="1" w:styleId="mod-beg-end">
    <w:name w:val="mod-beg-end"/>
    <w:basedOn w:val="Policepardfaut"/>
    <w:rsid w:val="00064035"/>
  </w:style>
  <w:style w:type="character" w:customStyle="1" w:styleId="ref-pub">
    <w:name w:val="ref-pub"/>
    <w:basedOn w:val="Policepardfaut"/>
    <w:rsid w:val="00064035"/>
  </w:style>
  <w:style w:type="paragraph" w:styleId="Textedebulles">
    <w:name w:val="Balloon Text"/>
    <w:basedOn w:val="Normal"/>
    <w:link w:val="TextedebullesCar"/>
    <w:uiPriority w:val="99"/>
    <w:semiHidden/>
    <w:unhideWhenUsed/>
    <w:rsid w:val="00064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035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B6726"/>
    <w:rPr>
      <w:rFonts w:eastAsiaTheme="majorEastAsia" w:cstheme="majorBidi"/>
      <w:b/>
      <w:bCs/>
      <w:smallCaps/>
      <w:sz w:val="24"/>
      <w:szCs w:val="24"/>
      <w:u w:val="single"/>
      <w:lang w:val="nl-NL" w:eastAsia="fr-FR"/>
    </w:rPr>
  </w:style>
  <w:style w:type="character" w:customStyle="1" w:styleId="Titre3Car">
    <w:name w:val="Titre 3 Car"/>
    <w:basedOn w:val="Policepardfaut"/>
    <w:link w:val="Titre3"/>
    <w:uiPriority w:val="9"/>
    <w:rsid w:val="00FF4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A3FD3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3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984292"/>
    <w:rPr>
      <w:rFonts w:eastAsiaTheme="majorEastAsia" w:cstheme="majorBidi"/>
      <w:b/>
      <w:bCs/>
      <w:caps/>
      <w:sz w:val="24"/>
      <w:szCs w:val="28"/>
      <w:u w:val="single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7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752"/>
    <w:rPr>
      <w:rFonts w:ascii="Calibri" w:eastAsia="Times New Roman" w:hAnsi="Calibri" w:cs="Times New Roman"/>
      <w:b/>
      <w:bCs/>
      <w:sz w:val="20"/>
      <w:szCs w:val="2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29A0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8229A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229A0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1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5325E"/>
    <w:rPr>
      <w:b/>
      <w:bCs/>
    </w:rPr>
  </w:style>
  <w:style w:type="character" w:customStyle="1" w:styleId="apple-converted-space">
    <w:name w:val="apple-converted-space"/>
    <w:basedOn w:val="Policepardfaut"/>
    <w:rsid w:val="0035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4292"/>
    <w:pPr>
      <w:keepNext/>
      <w:keepLines/>
      <w:numPr>
        <w:numId w:val="11"/>
      </w:numPr>
      <w:spacing w:before="480"/>
      <w:outlineLvl w:val="0"/>
    </w:pPr>
    <w:rPr>
      <w:rFonts w:asciiTheme="minorHAnsi" w:eastAsiaTheme="majorEastAsia" w:hAnsiTheme="minorHAnsi" w:cstheme="majorBidi"/>
      <w:b/>
      <w:bCs/>
      <w:caps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6726"/>
    <w:pPr>
      <w:keepNext/>
      <w:keepLines/>
      <w:numPr>
        <w:ilvl w:val="1"/>
        <w:numId w:val="11"/>
      </w:numPr>
      <w:tabs>
        <w:tab w:val="left" w:pos="993"/>
      </w:tabs>
      <w:spacing w:before="200"/>
      <w:outlineLvl w:val="1"/>
    </w:pPr>
    <w:rPr>
      <w:rFonts w:asciiTheme="minorHAnsi" w:eastAsiaTheme="majorEastAsia" w:hAnsiTheme="minorHAnsi" w:cstheme="majorBidi"/>
      <w:b/>
      <w:bCs/>
      <w:smallCaps/>
      <w:u w:val="single"/>
      <w:lang w:val="nl-N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4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64035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640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6403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064035"/>
    <w:rPr>
      <w:vertAlign w:val="superscript"/>
    </w:rPr>
  </w:style>
  <w:style w:type="character" w:styleId="Accentuation">
    <w:name w:val="Emphasis"/>
    <w:uiPriority w:val="20"/>
    <w:qFormat/>
    <w:rsid w:val="00064035"/>
    <w:rPr>
      <w:i/>
      <w:iCs/>
    </w:rPr>
  </w:style>
  <w:style w:type="paragraph" w:styleId="En-tte">
    <w:name w:val="header"/>
    <w:basedOn w:val="Normal"/>
    <w:link w:val="En-tteCar"/>
    <w:rsid w:val="000640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40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64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0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64035"/>
    <w:pPr>
      <w:ind w:left="720"/>
      <w:contextualSpacing/>
    </w:pPr>
  </w:style>
  <w:style w:type="character" w:customStyle="1" w:styleId="st">
    <w:name w:val="st"/>
    <w:basedOn w:val="Policepardfaut"/>
    <w:rsid w:val="00064035"/>
  </w:style>
  <w:style w:type="character" w:styleId="Marquedecommentaire">
    <w:name w:val="annotation reference"/>
    <w:basedOn w:val="Policepardfaut"/>
    <w:uiPriority w:val="99"/>
    <w:rsid w:val="00064035"/>
    <w:rPr>
      <w:sz w:val="16"/>
      <w:szCs w:val="16"/>
    </w:rPr>
  </w:style>
  <w:style w:type="paragraph" w:styleId="Commentaire">
    <w:name w:val="annotation text"/>
    <w:basedOn w:val="Normal"/>
    <w:link w:val="CommentaireCar"/>
    <w:rsid w:val="000640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6403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ct-nat">
    <w:name w:val="act-nat"/>
    <w:basedOn w:val="Policepardfaut"/>
    <w:rsid w:val="00064035"/>
  </w:style>
  <w:style w:type="character" w:customStyle="1" w:styleId="mod-beg-end">
    <w:name w:val="mod-beg-end"/>
    <w:basedOn w:val="Policepardfaut"/>
    <w:rsid w:val="00064035"/>
  </w:style>
  <w:style w:type="character" w:customStyle="1" w:styleId="ref-pub">
    <w:name w:val="ref-pub"/>
    <w:basedOn w:val="Policepardfaut"/>
    <w:rsid w:val="00064035"/>
  </w:style>
  <w:style w:type="paragraph" w:styleId="Textedebulles">
    <w:name w:val="Balloon Text"/>
    <w:basedOn w:val="Normal"/>
    <w:link w:val="TextedebullesCar"/>
    <w:uiPriority w:val="99"/>
    <w:semiHidden/>
    <w:unhideWhenUsed/>
    <w:rsid w:val="00064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035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B6726"/>
    <w:rPr>
      <w:rFonts w:eastAsiaTheme="majorEastAsia" w:cstheme="majorBidi"/>
      <w:b/>
      <w:bCs/>
      <w:smallCaps/>
      <w:sz w:val="24"/>
      <w:szCs w:val="24"/>
      <w:u w:val="single"/>
      <w:lang w:val="nl-NL" w:eastAsia="fr-FR"/>
    </w:rPr>
  </w:style>
  <w:style w:type="character" w:customStyle="1" w:styleId="Titre3Car">
    <w:name w:val="Titre 3 Car"/>
    <w:basedOn w:val="Policepardfaut"/>
    <w:link w:val="Titre3"/>
    <w:uiPriority w:val="9"/>
    <w:rsid w:val="00FF4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A3FD3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3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984292"/>
    <w:rPr>
      <w:rFonts w:eastAsiaTheme="majorEastAsia" w:cstheme="majorBidi"/>
      <w:b/>
      <w:bCs/>
      <w:caps/>
      <w:sz w:val="24"/>
      <w:szCs w:val="28"/>
      <w:u w:val="single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7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752"/>
    <w:rPr>
      <w:rFonts w:ascii="Calibri" w:eastAsia="Times New Roman" w:hAnsi="Calibri" w:cs="Times New Roman"/>
      <w:b/>
      <w:bCs/>
      <w:sz w:val="20"/>
      <w:szCs w:val="2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29A0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8229A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229A0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1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5325E"/>
    <w:rPr>
      <w:b/>
      <w:bCs/>
    </w:rPr>
  </w:style>
  <w:style w:type="character" w:customStyle="1" w:styleId="apple-converted-space">
    <w:name w:val="apple-converted-space"/>
    <w:basedOn w:val="Policepardfaut"/>
    <w:rsid w:val="0035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justice.just.fgov.be/cgi_loi/loi_a1.pl?imgcn.x=30&amp;imgcn.y=4&amp;DETAIL=2008090431%2FF&amp;caller=list&amp;row_id=1&amp;numero=13&amp;rech=13&amp;cn=2008090431&amp;table_name=LOI&amp;nm=2008031460&amp;la=F&amp;ddfm=09&amp;chercher=c&amp;dt=ORDONNANCE+%28BRUXELLES%29&amp;language=fr&amp;fr=f&amp;choix1=ET&amp;choix2=ET&amp;fromtab=loi_all&amp;sql=dt+contains++%27ORDONNANCE%27%2526+%27%28BRUXELLES%29%27+and+dd+between+date%272008-09-04%27+and+date%272008-09-04%27+and+actif+%3D+%27Y%27&amp;ddda=2008&amp;tri=dd+AS+RANK+&amp;trier=promulgation&amp;ddfa=2008&amp;dddj=04&amp;dddm=09&amp;ddfj=0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cgi_loi/loi_a1.pl?imgcn.x=48&amp;imgcn.y=10&amp;DETAIL=2003071790%2FF&amp;caller=list&amp;row_id=1&amp;numero=1&amp;rech=2&amp;cn=2003071790&amp;table_name=LOI&amp;nm=2013A31614&amp;la=F&amp;chercher=c&amp;dt=CODE+BRUXELLOIS+DU+LOGEMENT&amp;language=fr&amp;fr=f&amp;choix1=ET&amp;choix2=ET&amp;fromtab=loi_all&amp;sql=dt+contains++%27CODE%27%2526+%27BRUXELLOIS%27%2526+%27DU%27%2526+%27LOGEMENT%27and+actif+%3D+%27Y%27&amp;tri=dd+AS+RANK+&amp;trier=promulg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justice.just.fgov.be/cgi_loi/loi_a1.pl?imgcn.x=62&amp;imgcn.y=5&amp;DETAIL=2008090434%2FF&amp;caller=list&amp;row_id=1&amp;numero=1&amp;rech=13&amp;cn=2008090434&amp;table_name=LOI&amp;nm=2008031472&amp;la=F&amp;ddfm=09&amp;chercher=c&amp;dt=ORDONNANCE+%28BRUXELLES%29&amp;language=fr&amp;fr=f&amp;choix1=ET&amp;choix2=ET&amp;fromtab=loi_all&amp;sql=dt+contains++%27ORDONNANCE%27%2526+%27%28BRUXELLES%29%27+and+dd+between+date%272008-09-04%27+and+date%272008-09-04%27+and+actif+%3D+%27Y%27&amp;ddda=2008&amp;tri=dd+AS+RANK+&amp;trier=promulgation&amp;ddfa=2008&amp;dddj=04&amp;dddm=09&amp;ddfj=04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justice.just.fgov.be/cgi_loi/loi_a1.pl?imgcn.x=30&amp;imgcn.y=5&amp;DETAIL=2008090432%2FF&amp;caller=list&amp;row_id=1&amp;numero=9&amp;rech=13&amp;cn=2008090432&amp;table_name=LOI&amp;nm=2008031461&amp;la=F&amp;ddfm=09&amp;chercher=c&amp;dt=ORDONNANCE+%28BRUXELLES%29&amp;language=fr&amp;fr=f&amp;choix1=ET&amp;choix2=ET&amp;fromtab=loi_all&amp;sql=dt+contains++%27ORDONNANCE%27%2526+%27%28BRUXELLES%29%27+and+dd+between+date%272008-09-04%27+and+date%272008-09-04%27+and+actif+%3D+%27Y%27&amp;ddda=2008&amp;tri=dd+AS+RANK+&amp;trier=promulgation&amp;ddfa=2008&amp;dddj=04&amp;dddm=09&amp;ddfj=0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blex.irisnet.be/data/crb/cri/2007-08/00035/images.pdf" TargetMode="External"/><Relationship Id="rId2" Type="http://schemas.openxmlformats.org/officeDocument/2006/relationships/hyperlink" Target="http://www.weblex.irisnet.be/data/crb/cri/2007-08/00034/images.pdf" TargetMode="External"/><Relationship Id="rId1" Type="http://schemas.openxmlformats.org/officeDocument/2006/relationships/hyperlink" Target="http://www.unia.be/fr/legislation-et-recommandations/recommandations-dunia/galite-de-traitement-sur-le-marche-locatif-prive-en-region-de-bruxelles-capitale-suite-a-lentree-en-vigueur-de-la-sixieme-reforme-de-letat" TargetMode="External"/><Relationship Id="rId5" Type="http://schemas.openxmlformats.org/officeDocument/2006/relationships/hyperlink" Target="http://weblex.irisnet.be/data/crb/doc/2016-17/131771/images.pdf" TargetMode="External"/><Relationship Id="rId4" Type="http://schemas.openxmlformats.org/officeDocument/2006/relationships/hyperlink" Target="http://www.unia.be/fr/legislation-et-recommandations/recommandations-dunia/galite-de-traitement-sur-le-marche-locatif-prive-en-region-de-bruxelles-capitale-suite-a-lentree-en-vigueur-de-la-sixieme-reforme-de-le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454cf531-3357-463c-b643-2421b5f48de6">AAR validé</Type_x0020_Doc>
    <Destinataire xmlns="454cf531-3357-463c-b643-2421b5f48de6">
      <Value>1</Value>
      <Value>38</Value>
      <Value>16</Value>
      <Value>48</Value>
      <Value>45</Value>
    </Destinataire>
    <action xmlns="454cf531-3357-463c-b643-2421b5f48de6">2017 03 30 Recommandation envoyée</action>
    <Ref_x0020_NEW xmlns="454cf531-3357-463c-b643-2421b5f48de6">
      <Value>178</Value>
    </Ref_x0020_N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0A31B1286749B5DF3BD063B3C83F" ma:contentTypeVersion="13" ma:contentTypeDescription="Create a new document." ma:contentTypeScope="" ma:versionID="cae77f0550f2ee812374b75216e4ac36">
  <xsd:schema xmlns:xsd="http://www.w3.org/2001/XMLSchema" xmlns:xs="http://www.w3.org/2001/XMLSchema" xmlns:p="http://schemas.microsoft.com/office/2006/metadata/properties" xmlns:ns1="454cf531-3357-463c-b643-2421b5f48de6" xmlns:ns3="82003cb8-8c60-4fb7-a7cd-d2569735e56c" targetNamespace="http://schemas.microsoft.com/office/2006/metadata/properties" ma:root="true" ma:fieldsID="41d1c4ab38ba731c3cea45f467c9c3d8" ns1:_="" ns3:_="">
    <xsd:import namespace="454cf531-3357-463c-b643-2421b5f48de6"/>
    <xsd:import namespace="82003cb8-8c60-4fb7-a7cd-d2569735e56c"/>
    <xsd:element name="properties">
      <xsd:complexType>
        <xsd:sequence>
          <xsd:element name="documentManagement">
            <xsd:complexType>
              <xsd:all>
                <xsd:element ref="ns1:Type_x0020_Doc" minOccurs="0"/>
                <xsd:element ref="ns1:Ref_x0020_NEW" minOccurs="0"/>
                <xsd:element ref="ns1:Destinataire" minOccurs="0"/>
                <xsd:element ref="ns1:action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f531-3357-463c-b643-2421b5f48de6" elementFormDefault="qualified">
    <xsd:import namespace="http://schemas.microsoft.com/office/2006/documentManagement/types"/>
    <xsd:import namespace="http://schemas.microsoft.com/office/infopath/2007/PartnerControls"/>
    <xsd:element name="Type_x0020_Doc" ma:index="0" nillable="true" ma:displayName="Type Doc" ma:format="Dropdown" ma:internalName="Type_x0020_Doc" ma:readOnly="false">
      <xsd:simpleType>
        <xsd:restriction base="dms:Choice">
          <xsd:enumeration value="AAR draft"/>
          <xsd:enumeration value="AAR validé"/>
          <xsd:enumeration value="Compil draft"/>
          <xsd:enumeration value="Compil validée"/>
          <xsd:enumeration value="Corresp out draft"/>
          <xsd:enumeration value="Corresp out envoyée"/>
          <xsd:enumeration value="Corresp in"/>
          <xsd:enumeration value="PV Meeting Verslag"/>
          <xsd:enumeration value="Varia"/>
        </xsd:restriction>
      </xsd:simpleType>
    </xsd:element>
    <xsd:element name="Ref_x0020_NEW" ma:index="3" nillable="true" ma:displayName="Ref" ma:list="{c744d371-0b35-43d1-aa1e-e92714cbe84e}" ma:internalName="Ref_x0020_NEW" ma:readOnly="false" ma:showField="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tinataire" ma:index="4" nillable="true" ma:displayName="Destinataire" ma:list="{4d55bbfa-57ba-4e52-85ff-855201adc7f7}" ma:internalName="Destinatair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on" ma:index="5" nillable="true" ma:displayName="Comment" ma:internalName="action" ma:readOnly="fals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03cb8-8c60-4fb7-a7cd-d2569735e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2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D239-0CEA-4869-AD7C-45E5CBDD0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B47DE-EEBB-4D7A-A851-6C42B66ABBBE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ae7f61a3-22b2-4938-a80a-5aa4bb33e0b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4E9BAD-0BF4-4DE0-8A21-4688AF5FA7D0}"/>
</file>

<file path=customXml/itemProps4.xml><?xml version="1.0" encoding="utf-8"?>
<ds:datastoreItem xmlns:ds="http://schemas.openxmlformats.org/officeDocument/2006/customXml" ds:itemID="{BD855516-3CEE-4E5B-B95F-EB7B8E9997E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7BD0100-7470-46AC-AA8F-5FFCD4A8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2216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Gebhard</dc:creator>
  <cp:lastModifiedBy>Bruno Martens</cp:lastModifiedBy>
  <cp:revision>65</cp:revision>
  <cp:lastPrinted>2017-03-01T15:48:00Z</cp:lastPrinted>
  <dcterms:created xsi:type="dcterms:W3CDTF">2017-03-01T11:12:00Z</dcterms:created>
  <dcterms:modified xsi:type="dcterms:W3CDTF">2017-03-28T14:22:00Z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0x0101008C310A31B1286749B5DF3BD063B3C83F</vt:lpwstr>
  </property>
  <property fmtid="{D5CDD505-2E9C-101B-9397-08002B2CF9AE}" pid="3" name="Order">
    <vt:r8>17100</vt:r8>
  </property>
  <property fmtid="{D5CDD505-2E9C-101B-9397-08002B2CF9AE}" pid="4" name="Language">
    <vt:lpwstr>;#FR;#</vt:lpwstr>
  </property>
  <property fmtid="{D5CDD505-2E9C-101B-9397-08002B2CF9AE}" pid="5" name="ref">
    <vt:lpwstr>14</vt:lpwstr>
  </property>
</Properties>
</file>